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6"/>
        <w:gridCol w:w="5103"/>
        <w:gridCol w:w="1701"/>
        <w:gridCol w:w="1302"/>
      </w:tblGrid>
      <w:tr w:rsidR="006205DA" w:rsidRPr="00903FC4" w:rsidTr="00CA0302">
        <w:trPr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903FC4">
              <w:rPr>
                <w:rFonts w:cs="Calibri"/>
                <w:sz w:val="18"/>
                <w:szCs w:val="18"/>
              </w:rPr>
              <w:t>Curso:</w:t>
            </w:r>
          </w:p>
        </w:tc>
        <w:tc>
          <w:tcPr>
            <w:tcW w:w="8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Tecnologia em Produção Cultural</w:t>
            </w:r>
          </w:p>
        </w:tc>
      </w:tr>
      <w:tr w:rsidR="006205DA" w:rsidRPr="00903FC4" w:rsidTr="00CA0302">
        <w:trPr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sz w:val="18"/>
                <w:szCs w:val="18"/>
              </w:rPr>
              <w:t>Disciplina: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Configurações Culturais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sz w:val="18"/>
                <w:szCs w:val="18"/>
              </w:rPr>
              <w:t>Carga-Horária: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b/>
                <w:sz w:val="18"/>
                <w:szCs w:val="18"/>
              </w:rPr>
              <w:t xml:space="preserve">60h </w:t>
            </w:r>
            <w:r w:rsidRPr="00903FC4">
              <w:rPr>
                <w:rFonts w:cs="Calibri"/>
                <w:bCs/>
                <w:sz w:val="18"/>
                <w:szCs w:val="18"/>
              </w:rPr>
              <w:t>(80h/a)</w:t>
            </w:r>
          </w:p>
        </w:tc>
      </w:tr>
      <w:tr w:rsidR="006205DA" w:rsidRPr="00903FC4" w:rsidTr="00CA0302">
        <w:trPr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Pré-Requisito</w:t>
            </w:r>
            <w:r w:rsidRPr="00903FC4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Cultura e Sociedade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sz w:val="18"/>
                <w:szCs w:val="18"/>
              </w:rPr>
              <w:t>Número de créditos</w:t>
            </w:r>
            <w:r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903FC4">
              <w:rPr>
                <w:rFonts w:cs="Calibri"/>
                <w:b/>
                <w:sz w:val="18"/>
                <w:szCs w:val="18"/>
              </w:rPr>
              <w:t>4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auto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00000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EMENTA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  <w:jc w:val="center"/>
        </w:trPr>
        <w:tc>
          <w:tcPr>
            <w:tcW w:w="9412" w:type="dxa"/>
            <w:gridSpan w:val="4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right="113"/>
              <w:rPr>
                <w:rFonts w:cs="Calibri"/>
                <w:bCs/>
                <w:sz w:val="18"/>
                <w:szCs w:val="18"/>
              </w:rPr>
            </w:pPr>
            <w:r w:rsidRPr="001E21C5">
              <w:rPr>
                <w:rFonts w:cs="Calibri"/>
                <w:bCs/>
                <w:sz w:val="18"/>
                <w:szCs w:val="18"/>
              </w:rPr>
              <w:t>Configuraç</w:t>
            </w:r>
            <w:r>
              <w:rPr>
                <w:rFonts w:cs="Calibri"/>
                <w:bCs/>
                <w:sz w:val="18"/>
                <w:szCs w:val="18"/>
              </w:rPr>
              <w:t xml:space="preserve">ões culturais significativas para as populações da região Nordeste considerando os </w:t>
            </w:r>
            <w:r w:rsidRPr="00903FC4">
              <w:rPr>
                <w:rFonts w:cs="Calibri"/>
                <w:bCs/>
                <w:sz w:val="18"/>
                <w:szCs w:val="18"/>
              </w:rPr>
              <w:t xml:space="preserve">aspectos </w:t>
            </w:r>
            <w:r>
              <w:rPr>
                <w:rFonts w:cs="Calibri"/>
                <w:bCs/>
                <w:sz w:val="18"/>
                <w:szCs w:val="18"/>
              </w:rPr>
              <w:t xml:space="preserve">socioculturais, estéticos, </w:t>
            </w:r>
            <w:r w:rsidRPr="00903FC4">
              <w:rPr>
                <w:rFonts w:cs="Calibri"/>
                <w:bCs/>
                <w:sz w:val="18"/>
                <w:szCs w:val="18"/>
              </w:rPr>
              <w:t>históricos e críticos</w:t>
            </w:r>
            <w:r>
              <w:rPr>
                <w:rFonts w:cs="Calibri"/>
                <w:bCs/>
                <w:sz w:val="18"/>
                <w:szCs w:val="18"/>
              </w:rPr>
              <w:t>. Processos de construção das configurações culturais. Processos transformativos de inovação e de espetacularização das configurações culturais e o papel da produção cultural.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right="113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205DA" w:rsidRPr="001C390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00000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PROGRAMA</w:t>
            </w:r>
          </w:p>
        </w:tc>
      </w:tr>
      <w:tr w:rsidR="006205DA" w:rsidRPr="001C390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E0E0E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Objetivos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Compreender configurações culturais da região Nordeste em seus contextos socioculturais, estéticos, </w:t>
            </w:r>
            <w:r w:rsidRPr="00903FC4">
              <w:rPr>
                <w:rFonts w:cs="Calibri"/>
                <w:bCs/>
                <w:sz w:val="18"/>
                <w:szCs w:val="18"/>
              </w:rPr>
              <w:t>históricos e críticos</w:t>
            </w:r>
            <w:r>
              <w:rPr>
                <w:rFonts w:cs="Calibri"/>
                <w:bCs/>
                <w:sz w:val="18"/>
                <w:szCs w:val="18"/>
              </w:rPr>
              <w:t xml:space="preserve"> como construções significativas para a população;</w:t>
            </w:r>
          </w:p>
          <w:p w:rsidR="006205DA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Analisar os processos transformativos de inovação e de espetacularização os quais estão submetidos às configurações culturais;</w:t>
            </w:r>
          </w:p>
          <w:p w:rsidR="006205DA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Entender o papel da produção cultural nos processos de dinamização, de transformação e de continuidade das configurações culturais;</w:t>
            </w:r>
          </w:p>
          <w:p w:rsidR="006205DA" w:rsidRPr="00C21D32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 xml:space="preserve">Estabelecer relações </w:t>
            </w:r>
            <w:r>
              <w:rPr>
                <w:rFonts w:cs="Calibri"/>
                <w:bCs/>
                <w:sz w:val="18"/>
                <w:szCs w:val="18"/>
              </w:rPr>
              <w:t>entre as configurações culturais e as atividades turísticas, de entretenimento e de</w:t>
            </w:r>
            <w:r w:rsidRPr="00C21D32">
              <w:rPr>
                <w:rFonts w:cs="Calibri"/>
                <w:bCs/>
                <w:sz w:val="18"/>
                <w:szCs w:val="18"/>
              </w:rPr>
              <w:t xml:space="preserve"> produção cultural;</w:t>
            </w:r>
          </w:p>
          <w:p w:rsidR="006205DA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Conhecer processo</w:t>
            </w:r>
            <w:r>
              <w:rPr>
                <w:rFonts w:cs="Calibri"/>
                <w:bCs/>
                <w:sz w:val="18"/>
                <w:szCs w:val="18"/>
              </w:rPr>
              <w:t xml:space="preserve">s de construção </w:t>
            </w:r>
            <w:r w:rsidRPr="00903FC4">
              <w:rPr>
                <w:rFonts w:cs="Calibri"/>
                <w:bCs/>
                <w:sz w:val="18"/>
                <w:szCs w:val="18"/>
              </w:rPr>
              <w:t xml:space="preserve">de eventos </w:t>
            </w:r>
            <w:r>
              <w:rPr>
                <w:rFonts w:cs="Calibri"/>
                <w:bCs/>
                <w:sz w:val="18"/>
                <w:szCs w:val="18"/>
              </w:rPr>
              <w:t>culturais</w:t>
            </w:r>
            <w:r w:rsidRPr="00903FC4">
              <w:rPr>
                <w:rFonts w:cs="Calibri"/>
                <w:bCs/>
                <w:sz w:val="18"/>
                <w:szCs w:val="18"/>
              </w:rPr>
              <w:t>;</w:t>
            </w:r>
          </w:p>
          <w:p w:rsidR="006205DA" w:rsidRPr="00903FC4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Compreender a diversidade de configurações culturais existentes na região Nordeste;</w:t>
            </w:r>
          </w:p>
          <w:p w:rsidR="006205DA" w:rsidRPr="00903FC4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E</w:t>
            </w:r>
            <w:r w:rsidRPr="00903FC4">
              <w:rPr>
                <w:rFonts w:cs="Calibri"/>
                <w:bCs/>
                <w:sz w:val="18"/>
                <w:szCs w:val="18"/>
              </w:rPr>
              <w:t>ntender as implicações da cultura digital para a produção cultural contemporânea.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E0E0E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sz w:val="18"/>
                <w:szCs w:val="18"/>
              </w:rPr>
              <w:t>Bases Científico-Tecnológicas (Conteúdos)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Default="006205DA" w:rsidP="006205DA">
            <w:pPr>
              <w:numPr>
                <w:ilvl w:val="0"/>
                <w:numId w:val="2"/>
              </w:numPr>
              <w:tabs>
                <w:tab w:val="left" w:pos="952"/>
              </w:tabs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Configurações culturais da região Nordeste: contextos socioculturais, estéticos, </w:t>
            </w:r>
            <w:r w:rsidRPr="00903FC4">
              <w:rPr>
                <w:rFonts w:cs="Calibri"/>
                <w:bCs/>
                <w:sz w:val="18"/>
                <w:szCs w:val="18"/>
              </w:rPr>
              <w:t>históricos e críticos</w:t>
            </w:r>
            <w:r>
              <w:rPr>
                <w:rFonts w:cs="Calibri"/>
                <w:bCs/>
                <w:sz w:val="18"/>
                <w:szCs w:val="18"/>
              </w:rPr>
              <w:t>;</w:t>
            </w:r>
          </w:p>
          <w:p w:rsidR="006205DA" w:rsidRDefault="006205DA" w:rsidP="006205DA">
            <w:pPr>
              <w:numPr>
                <w:ilvl w:val="0"/>
                <w:numId w:val="2"/>
              </w:numPr>
              <w:tabs>
                <w:tab w:val="left" w:pos="952"/>
              </w:tabs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Processos de construção das configurações culturais;</w:t>
            </w:r>
          </w:p>
          <w:p w:rsidR="006205DA" w:rsidRDefault="006205DA" w:rsidP="006205DA">
            <w:pPr>
              <w:numPr>
                <w:ilvl w:val="0"/>
                <w:numId w:val="2"/>
              </w:numPr>
              <w:tabs>
                <w:tab w:val="left" w:pos="952"/>
              </w:tabs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Configurações culturais: processos transformativos de inovação, de espetacularização e o papel da produção cultural;</w:t>
            </w:r>
          </w:p>
          <w:p w:rsidR="006205DA" w:rsidRDefault="006205DA" w:rsidP="006205DA">
            <w:pPr>
              <w:numPr>
                <w:ilvl w:val="0"/>
                <w:numId w:val="2"/>
              </w:numPr>
              <w:tabs>
                <w:tab w:val="left" w:pos="952"/>
              </w:tabs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Relação entre configurações culturais e atividades turísticas, de entretenimento e de produção cultural;</w:t>
            </w:r>
          </w:p>
          <w:p w:rsidR="006205DA" w:rsidRPr="00903FC4" w:rsidRDefault="006205DA" w:rsidP="006205DA">
            <w:pPr>
              <w:numPr>
                <w:ilvl w:val="0"/>
                <w:numId w:val="2"/>
              </w:numPr>
              <w:tabs>
                <w:tab w:val="left" w:pos="952"/>
              </w:tabs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 xml:space="preserve">Diversidade cultural e </w:t>
            </w:r>
            <w:r>
              <w:rPr>
                <w:rFonts w:cs="Calibri"/>
                <w:bCs/>
                <w:sz w:val="18"/>
                <w:szCs w:val="18"/>
              </w:rPr>
              <w:t>produção</w:t>
            </w:r>
            <w:r w:rsidRPr="00903FC4">
              <w:rPr>
                <w:rFonts w:cs="Calibri"/>
                <w:bCs/>
                <w:sz w:val="18"/>
                <w:szCs w:val="18"/>
              </w:rPr>
              <w:t xml:space="preserve"> cultura</w:t>
            </w:r>
            <w:r>
              <w:rPr>
                <w:rFonts w:cs="Calibri"/>
                <w:bCs/>
                <w:sz w:val="18"/>
                <w:szCs w:val="18"/>
              </w:rPr>
              <w:t>l</w:t>
            </w:r>
            <w:r w:rsidRPr="00903FC4">
              <w:rPr>
                <w:rFonts w:cs="Calibri"/>
                <w:bCs/>
                <w:sz w:val="18"/>
                <w:szCs w:val="18"/>
              </w:rPr>
              <w:t>;</w:t>
            </w:r>
          </w:p>
          <w:p w:rsidR="006205DA" w:rsidRPr="00903FC4" w:rsidRDefault="006205DA" w:rsidP="006205DA">
            <w:pPr>
              <w:numPr>
                <w:ilvl w:val="0"/>
                <w:numId w:val="2"/>
              </w:numPr>
              <w:tabs>
                <w:tab w:val="left" w:pos="952"/>
              </w:tabs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</w:t>
            </w:r>
            <w:r w:rsidRPr="00BF12D4">
              <w:rPr>
                <w:rFonts w:cs="Calibri"/>
                <w:bCs/>
                <w:sz w:val="18"/>
                <w:szCs w:val="18"/>
              </w:rPr>
              <w:t>mplicações da cultura digital para a produção cultural contemporânea.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E0E0E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Procedimentos Metodológicos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right="113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 o</w:t>
            </w:r>
            <w:r w:rsidRPr="00C16C9E">
              <w:rPr>
                <w:rFonts w:cstheme="minorHAnsi"/>
                <w:sz w:val="18"/>
                <w:szCs w:val="18"/>
              </w:rPr>
              <w:t xml:space="preserve"> estudo das configuraç</w:t>
            </w:r>
            <w:r>
              <w:rPr>
                <w:rFonts w:cstheme="minorHAnsi"/>
                <w:sz w:val="18"/>
                <w:szCs w:val="18"/>
              </w:rPr>
              <w:t>ões culturais e sua relação com a produção cultural faz-se necessário conhecimentos prévios desenvolvidos nas disciplinas de Cultura e Sociedade e de Políticas Culturais. A disciplina requer aulas teóricas e práticas, incluindo estudos de configurações culturais de cidades do Nordeste brasileiro.</w:t>
            </w:r>
          </w:p>
        </w:tc>
      </w:tr>
      <w:tr w:rsidR="006205DA" w:rsidRPr="00C16C9E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E0E0E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sz w:val="18"/>
                <w:szCs w:val="18"/>
              </w:rPr>
              <w:t>Recursos Didáticos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Default="006205DA" w:rsidP="00CA0302">
            <w:pPr>
              <w:suppressAutoHyphens/>
              <w:spacing w:line="240" w:lineRule="auto"/>
              <w:ind w:right="115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Aulas expositivas</w:t>
            </w:r>
            <w:r>
              <w:rPr>
                <w:rFonts w:cs="Calibri"/>
                <w:bCs/>
                <w:sz w:val="18"/>
                <w:szCs w:val="18"/>
              </w:rPr>
              <w:t xml:space="preserve"> dialogadas;</w:t>
            </w:r>
          </w:p>
          <w:p w:rsidR="006205DA" w:rsidRPr="00903FC4" w:rsidRDefault="006205DA" w:rsidP="00CA0302">
            <w:pPr>
              <w:suppressAutoHyphens/>
              <w:spacing w:line="240" w:lineRule="auto"/>
              <w:ind w:right="115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Leitura prévia e análise do texto;</w:t>
            </w:r>
          </w:p>
          <w:p w:rsidR="006205DA" w:rsidRDefault="006205DA" w:rsidP="00CA0302">
            <w:pPr>
              <w:suppressAutoHyphens/>
              <w:spacing w:line="240" w:lineRule="auto"/>
              <w:ind w:right="115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Debates com os alunos;</w:t>
            </w:r>
          </w:p>
          <w:p w:rsidR="006205DA" w:rsidRPr="00903FC4" w:rsidRDefault="006205DA" w:rsidP="00CA0302">
            <w:pPr>
              <w:suppressAutoHyphens/>
              <w:spacing w:line="240" w:lineRule="auto"/>
              <w:ind w:right="115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Elaboração de seminários temáticos;</w:t>
            </w:r>
          </w:p>
          <w:p w:rsidR="006205DA" w:rsidRPr="00903FC4" w:rsidRDefault="006205DA" w:rsidP="00CA0302">
            <w:pPr>
              <w:suppressAutoHyphens/>
              <w:spacing w:line="240" w:lineRule="auto"/>
              <w:ind w:right="115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Palestras com convidados externos;</w:t>
            </w:r>
          </w:p>
          <w:p w:rsidR="006205DA" w:rsidRPr="00FC153E" w:rsidRDefault="006205DA" w:rsidP="00CA0302">
            <w:pPr>
              <w:suppressAutoHyphens/>
              <w:spacing w:line="240" w:lineRule="auto"/>
              <w:ind w:right="115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Aula de campo par</w:t>
            </w:r>
            <w:r>
              <w:rPr>
                <w:rFonts w:cs="Calibri"/>
                <w:bCs/>
                <w:sz w:val="18"/>
                <w:szCs w:val="18"/>
              </w:rPr>
              <w:t xml:space="preserve">a o conhecimento e o reconhecimento </w:t>
            </w:r>
            <w:r w:rsidRPr="00903FC4">
              <w:rPr>
                <w:rFonts w:cs="Calibri"/>
                <w:bCs/>
                <w:sz w:val="18"/>
                <w:szCs w:val="18"/>
              </w:rPr>
              <w:t>de práticas cultura</w:t>
            </w:r>
            <w:r>
              <w:rPr>
                <w:rFonts w:cs="Calibri"/>
                <w:bCs/>
                <w:sz w:val="18"/>
                <w:szCs w:val="18"/>
              </w:rPr>
              <w:t>is</w:t>
            </w:r>
            <w:r w:rsidRPr="00903FC4">
              <w:rPr>
                <w:rFonts w:cs="Calibri"/>
                <w:bCs/>
                <w:sz w:val="18"/>
                <w:szCs w:val="18"/>
              </w:rPr>
              <w:t>;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D9D9D9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903FC4">
              <w:rPr>
                <w:rFonts w:cs="Calibri"/>
                <w:b/>
                <w:sz w:val="18"/>
                <w:szCs w:val="18"/>
              </w:rPr>
              <w:t>Avaliação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right="113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Avaliação contínua incluindo prova escrita individual; seminários em grupo; trabalho em grupo.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E0E0E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Bibliografia Básica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AMARAL, Rita. A festa como objeto e como conceito. In: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Festa à Brasileira</w:t>
            </w:r>
            <w:r w:rsidRPr="008521A3">
              <w:rPr>
                <w:rFonts w:cs="Calibri"/>
                <w:bCs/>
                <w:sz w:val="18"/>
                <w:szCs w:val="18"/>
              </w:rPr>
              <w:t xml:space="preserve">: sentidos do festejar no país que “não é sério”. São Paulo, 1998. Tese de Doutorado em Antropologia Social da Universidade de São Paulo. </w:t>
            </w:r>
            <w:hyperlink r:id="rId6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http://www.aguaforte.com/antropologia/festaabrasileira/Bibliografiadatesefesta.html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 xml:space="preserve">&gt;. Acesso em: 22 de mar. de 2008. 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_______. A formação da festa “à Brasileira”. In: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Festa à Brasileira</w:t>
            </w:r>
            <w:r w:rsidRPr="008521A3">
              <w:rPr>
                <w:rFonts w:cs="Calibri"/>
                <w:bCs/>
                <w:sz w:val="18"/>
                <w:szCs w:val="18"/>
              </w:rPr>
              <w:t>: sentidos do festejar no país que “não é sério”. São Paulo, 1998. Tese de Doutorado em Antropologia Social da Universidade de São Paulo. &lt;</w:t>
            </w:r>
            <w:hyperlink r:id="rId7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http://www.aguaforte.com/antropologia/festaabrasileira/Bibliografiadatesefesta.html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 xml:space="preserve">&gt;. Acesso em: 22 de março de 2008. 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_______. Carnaval: deixando o ruim de lado.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Os Urbanitas</w:t>
            </w:r>
            <w:r w:rsidRPr="008521A3">
              <w:rPr>
                <w:rFonts w:cs="Calibri"/>
                <w:bCs/>
                <w:sz w:val="18"/>
                <w:szCs w:val="18"/>
              </w:rPr>
              <w:t>. Revista Digital em Antropologia Social. Disponível em: &lt;</w:t>
            </w:r>
            <w:hyperlink r:id="rId8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http://www.aguaforte.com/antropologia/amaral-carnaval-2006.html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>&gt;. Acesso em: 02 fev. 2011.</w:t>
            </w:r>
          </w:p>
          <w:p w:rsidR="006205DA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 xml:space="preserve">CALABRE, Lia (org.). </w:t>
            </w:r>
            <w:r w:rsidRPr="00903FC4">
              <w:rPr>
                <w:rFonts w:cs="Calibri"/>
                <w:b/>
                <w:bCs/>
                <w:sz w:val="18"/>
                <w:szCs w:val="18"/>
              </w:rPr>
              <w:t>Políticas culturais: reflexões e ações</w:t>
            </w:r>
            <w:r w:rsidRPr="00903FC4">
              <w:rPr>
                <w:rFonts w:cs="Calibri"/>
                <w:bCs/>
                <w:sz w:val="18"/>
                <w:szCs w:val="18"/>
              </w:rPr>
              <w:t>. São Paulo: Itaú Cultural; Rio de Janeiro: Fundação Casa de Rui Barbosa, 2009.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CARVALHO, José Jorge Carvalho.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Espetacularização e canibalização das culturas populares</w:t>
            </w:r>
            <w:r w:rsidRPr="008521A3">
              <w:rPr>
                <w:rFonts w:cs="Calibri"/>
                <w:bCs/>
                <w:sz w:val="18"/>
                <w:szCs w:val="18"/>
              </w:rPr>
              <w:t xml:space="preserve">. In: I Encontro Sul-Americano das Culturas Populares e II Seminário Nacional de Políticas Públicas para as Culturas Populares. São Paulo: Instituto Polis; Brasília, DF: Ministério da Cultura, 2007. 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CAVALCANTI, Maria Laura Viveiros de Castro. O Boi-Bumbá de Parintins, Amazonas: breve história e etnografia da festa. </w:t>
            </w:r>
            <w:r w:rsidRPr="008521A3">
              <w:rPr>
                <w:rFonts w:cs="Calibri"/>
                <w:b/>
                <w:bCs/>
                <w:iCs/>
                <w:sz w:val="18"/>
                <w:szCs w:val="18"/>
              </w:rPr>
              <w:t>História, Ciências, Saúde - Manguinhos</w:t>
            </w:r>
            <w:r w:rsidRPr="008521A3">
              <w:rPr>
                <w:rFonts w:cs="Calibri"/>
                <w:bCs/>
                <w:sz w:val="18"/>
                <w:szCs w:val="18"/>
              </w:rPr>
              <w:t xml:space="preserve">, vol. VI (suplemento), 1019-1046, setembro 2000. Disponível em: </w:t>
            </w:r>
            <w:hyperlink r:id="rId9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http://www.scielo.br/scielo.php?pid=S0104-59702000000500012&amp;script=sci_arttext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>. Acesso em: 26. Ago. 2009.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_______.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Os sentidos do espetáculo</w:t>
            </w:r>
            <w:r w:rsidRPr="008521A3">
              <w:rPr>
                <w:rFonts w:cs="Calibri"/>
                <w:bCs/>
                <w:sz w:val="18"/>
                <w:szCs w:val="18"/>
              </w:rPr>
              <w:t xml:space="preserve">. Rev. Antropol. vol. 45, nº.1. São Paulo,  2002 Disponível em </w:t>
            </w:r>
            <w:hyperlink r:id="rId10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http://www.scielo.br/pdf/ra/v45n1/a02v45n1.pdf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>. Acesso em 12 jun. 2010.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>CHIANCA, Luciana. Imagens rurais e identidades citadinas na festa junina.In: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 xml:space="preserve"> Os Urbanitas</w:t>
            </w:r>
            <w:r w:rsidRPr="008521A3">
              <w:rPr>
                <w:rFonts w:cs="Calibri"/>
                <w:bCs/>
                <w:sz w:val="18"/>
                <w:szCs w:val="18"/>
              </w:rPr>
              <w:t xml:space="preserve"> - Revista de Antropologia Urbana. Ano 4, vol. 4, n. 6, dez., 2007. Disponível em: &lt;http://www.aguaforte.com/osurbanitas6.html&gt;. Acesso em: 15 </w:t>
            </w:r>
            <w:r w:rsidRPr="008521A3">
              <w:rPr>
                <w:rFonts w:cs="Calibri"/>
                <w:bCs/>
                <w:sz w:val="18"/>
                <w:szCs w:val="18"/>
              </w:rPr>
              <w:lastRenderedPageBreak/>
              <w:t>jan. 2007.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_______. Devoção e diversão: expressões contemporâneas de festas e santos católicos. </w:t>
            </w:r>
            <w:r w:rsidRPr="008521A3">
              <w:rPr>
                <w:rFonts w:cs="Calibri"/>
                <w:b/>
                <w:bCs/>
                <w:iCs/>
                <w:sz w:val="18"/>
                <w:szCs w:val="18"/>
              </w:rPr>
              <w:t>Revista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ANT</w:t>
            </w:r>
            <w:r w:rsidRPr="008521A3">
              <w:rPr>
                <w:rFonts w:cs="Calibri"/>
                <w:b/>
                <w:bCs/>
                <w:iCs/>
                <w:sz w:val="18"/>
                <w:szCs w:val="18"/>
              </w:rPr>
              <w:t>H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ROPOLÓGICAS</w:t>
            </w:r>
            <w:r w:rsidRPr="008521A3">
              <w:rPr>
                <w:rFonts w:cs="Calibri"/>
                <w:bCs/>
                <w:sz w:val="18"/>
                <w:szCs w:val="18"/>
              </w:rPr>
              <w:t>, ano 11, volume 18(2):49-74 (2007). Disponível em: &lt;</w:t>
            </w:r>
            <w:hyperlink r:id="rId11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http://www.aguaforte.com/antropologia/CHIANCA.pdf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>&gt;. Acesso em: fev. 2011.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CHIES, Thaís Cristine. Novas formas de viver: Clubbers e Ravers.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Os Urbanitas</w:t>
            </w:r>
            <w:r w:rsidRPr="008521A3">
              <w:rPr>
                <w:rFonts w:cs="Calibri"/>
                <w:bCs/>
                <w:sz w:val="18"/>
                <w:szCs w:val="18"/>
              </w:rPr>
              <w:t>. Revista Digital de Antropologia Social. Disponível em: &lt;</w:t>
            </w:r>
            <w:hyperlink r:id="rId12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http://www.aguaforte.com/antropologia/Clubbers1.html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>&gt;. Acesso em: 02 fev. 2011.</w:t>
            </w:r>
          </w:p>
          <w:p w:rsidR="006205DA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 xml:space="preserve">CRIBARI, Isabela (org.). </w:t>
            </w:r>
            <w:r w:rsidRPr="00903FC4">
              <w:rPr>
                <w:rFonts w:cs="Calibri"/>
                <w:b/>
                <w:bCs/>
                <w:sz w:val="18"/>
                <w:szCs w:val="18"/>
              </w:rPr>
              <w:t>Economia da cultura</w:t>
            </w:r>
            <w:r w:rsidRPr="00903FC4">
              <w:rPr>
                <w:rFonts w:cs="Calibri"/>
                <w:bCs/>
                <w:sz w:val="18"/>
                <w:szCs w:val="18"/>
              </w:rPr>
              <w:t>. Recife: Fundação Joaquim Nabuco, EditoraMassangana, 2009.</w:t>
            </w:r>
          </w:p>
          <w:p w:rsidR="006205DA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FC153E">
              <w:rPr>
                <w:rFonts w:cs="Calibri"/>
                <w:bCs/>
                <w:sz w:val="18"/>
                <w:szCs w:val="18"/>
              </w:rPr>
              <w:t xml:space="preserve">DURKHEIM, Emile. </w:t>
            </w:r>
            <w:r w:rsidRPr="00FC153E">
              <w:rPr>
                <w:rFonts w:cs="Calibri"/>
                <w:b/>
                <w:bCs/>
                <w:sz w:val="18"/>
                <w:szCs w:val="18"/>
              </w:rPr>
              <w:t>As formas elementares de vida religiosa</w:t>
            </w:r>
            <w:r w:rsidRPr="00FC153E">
              <w:rPr>
                <w:rFonts w:cs="Calibri"/>
                <w:bCs/>
                <w:sz w:val="18"/>
                <w:szCs w:val="18"/>
              </w:rPr>
              <w:t xml:space="preserve">: o sistema totêmico na Austrália. Tradução de Joaquim Pereira Neto; revisão José Joaquim Sobral. São Paulo: Edições Paulina, 1989.  </w:t>
            </w:r>
          </w:p>
          <w:p w:rsidR="006205DA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FC153E">
              <w:rPr>
                <w:rFonts w:cs="Calibri"/>
                <w:bCs/>
                <w:sz w:val="18"/>
                <w:szCs w:val="18"/>
              </w:rPr>
              <w:t xml:space="preserve">EHRENREICH, Barbara. </w:t>
            </w:r>
            <w:r w:rsidRPr="00FC153E">
              <w:rPr>
                <w:rFonts w:cs="Calibri"/>
                <w:b/>
                <w:bCs/>
                <w:sz w:val="18"/>
                <w:szCs w:val="18"/>
              </w:rPr>
              <w:t>Dançando nas ruas</w:t>
            </w:r>
            <w:r w:rsidRPr="00FC153E">
              <w:rPr>
                <w:rFonts w:cs="Calibri"/>
                <w:bCs/>
                <w:sz w:val="18"/>
                <w:szCs w:val="18"/>
              </w:rPr>
              <w:t>: uma história do êxtase coletivo. Tradução Julián Fuks. Rio de J</w:t>
            </w:r>
            <w:r>
              <w:rPr>
                <w:rFonts w:cs="Calibri"/>
                <w:bCs/>
                <w:sz w:val="18"/>
                <w:szCs w:val="18"/>
              </w:rPr>
              <w:t xml:space="preserve">aneiro: Record, 2010. 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FEITOSA, Aline.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Afinados com as cordas da rabeca</w:t>
            </w:r>
            <w:r w:rsidRPr="008521A3">
              <w:rPr>
                <w:rFonts w:cs="Calibri"/>
                <w:bCs/>
                <w:sz w:val="18"/>
                <w:szCs w:val="18"/>
              </w:rPr>
              <w:t>. In: Continuum Itaú Cultural. 17 dez 2008. Pp. 36-39.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GUTFRIEND, Cristiane Freitas.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Cinema e outras mídias</w:t>
            </w:r>
            <w:r w:rsidRPr="008521A3">
              <w:rPr>
                <w:rFonts w:cs="Calibri"/>
                <w:bCs/>
                <w:sz w:val="18"/>
                <w:szCs w:val="18"/>
              </w:rPr>
              <w:t xml:space="preserve">: os espaços da arte na contemporaneidade. Contemporânea, vol. 6, nº 1, jun., 2008. Disponível em: </w:t>
            </w:r>
            <w:hyperlink r:id="rId13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http://www.portalseer.ufba.br/index.php/contemporaneaposcom/issue/view/382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>. Acesso em 23 mar. 2010.</w:t>
            </w:r>
          </w:p>
          <w:p w:rsidR="006205DA" w:rsidRPr="00903FC4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FC153E">
              <w:rPr>
                <w:rFonts w:cs="Calibri"/>
                <w:bCs/>
                <w:sz w:val="18"/>
                <w:szCs w:val="18"/>
              </w:rPr>
              <w:t xml:space="preserve">MAGNANI, José Guilherme Cantor. </w:t>
            </w:r>
            <w:r w:rsidRPr="00FC153E">
              <w:rPr>
                <w:rFonts w:cs="Calibri"/>
                <w:b/>
                <w:bCs/>
                <w:sz w:val="18"/>
                <w:szCs w:val="18"/>
              </w:rPr>
              <w:t>Festa no pedaço</w:t>
            </w:r>
            <w:r w:rsidRPr="00FC153E">
              <w:rPr>
                <w:rFonts w:cs="Calibri"/>
                <w:bCs/>
                <w:sz w:val="18"/>
                <w:szCs w:val="18"/>
              </w:rPr>
              <w:t>: cultura popular e lazer na cidade. São Paulo: Hucitec/UNESP, 1998.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 xml:space="preserve">REIS, Ana Carla Fonseca. </w:t>
            </w:r>
            <w:r w:rsidRPr="00903FC4">
              <w:rPr>
                <w:rFonts w:cs="Calibri"/>
                <w:b/>
                <w:bCs/>
                <w:sz w:val="18"/>
                <w:szCs w:val="18"/>
              </w:rPr>
              <w:t>Economia da cultura e desenvolvimento sustentável:</w:t>
            </w:r>
            <w:r w:rsidRPr="00903FC4">
              <w:rPr>
                <w:rFonts w:cs="Calibri"/>
                <w:bCs/>
                <w:sz w:val="18"/>
                <w:szCs w:val="18"/>
              </w:rPr>
              <w:t xml:space="preserve"> o caleidoscópio da cultura. Barueri, SP: Manole, 2007.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E0E0E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lastRenderedPageBreak/>
              <w:t>Bibliografia Complementar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AMARAL, Rita de Cássia. Cidade em festa. In: MAGNANI, José Guilherme (Org.). Na metrópole: textos de antropologia urbana. São Paulo: Ed. USP/FAPESP, 1996.  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eastAsia="Calibri"/>
                <w:bCs/>
                <w:sz w:val="18"/>
                <w:szCs w:val="18"/>
              </w:rPr>
              <w:t xml:space="preserve">________. Festas, festivais, festividades: algumas notas para a discussão de métodos e técnicas de pesquisa sobre festejar no Brasil. Rita Amaral. </w:t>
            </w:r>
            <w:r w:rsidRPr="008521A3">
              <w:rPr>
                <w:rFonts w:eastAsia="Calibri"/>
                <w:sz w:val="18"/>
                <w:szCs w:val="18"/>
              </w:rPr>
              <w:t>Anais do II Colóquio Festas e Sociabilidades – (Cirs/Caso/Cefet) Universidade Federal Do Rio Grande Do Norte. Disponível em: &lt;</w:t>
            </w:r>
            <w:hyperlink r:id="rId14" w:history="1">
              <w:r w:rsidRPr="008521A3">
                <w:rPr>
                  <w:rStyle w:val="Hyperlink"/>
                  <w:rFonts w:eastAsia="Calibri"/>
                  <w:sz w:val="18"/>
                  <w:szCs w:val="18"/>
                </w:rPr>
                <w:t>http://www.aguaforte.com/antropologia/AnaisIIColoquioFestaseSociabilidades2008UFRN-RitaAmaral.pdf</w:t>
              </w:r>
            </w:hyperlink>
            <w:r w:rsidRPr="008521A3">
              <w:rPr>
                <w:rFonts w:eastAsia="Calibri"/>
                <w:sz w:val="18"/>
                <w:szCs w:val="18"/>
              </w:rPr>
              <w:t>&gt;. Acesso em: 30 jan. 2011.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BOURDIEU, Pierre. O espaço da prática e suas transformações. In: _______. </w:t>
            </w:r>
            <w:r w:rsidRPr="008521A3">
              <w:rPr>
                <w:b/>
                <w:sz w:val="18"/>
                <w:szCs w:val="18"/>
              </w:rPr>
              <w:t>A Distinção</w:t>
            </w:r>
            <w:r w:rsidRPr="008521A3">
              <w:rPr>
                <w:sz w:val="18"/>
                <w:szCs w:val="18"/>
              </w:rPr>
              <w:t xml:space="preserve">: crítica social do julgamento. Tradução Daniela Kern; Guilherme J. F. Teixeira. São Paulo: Edusp; Porto Alegre, RS: Zouk, 2007. </w:t>
            </w:r>
          </w:p>
          <w:p w:rsidR="006205DA" w:rsidRPr="008521A3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BRANDÃO, Carlos Rodrigues. </w:t>
            </w:r>
            <w:r w:rsidRPr="008521A3">
              <w:rPr>
                <w:b/>
                <w:bCs/>
                <w:sz w:val="18"/>
                <w:szCs w:val="18"/>
              </w:rPr>
              <w:t>Cultura na rua</w:t>
            </w:r>
            <w:r w:rsidRPr="008521A3">
              <w:rPr>
                <w:sz w:val="18"/>
                <w:szCs w:val="18"/>
              </w:rPr>
              <w:t>. Campinas-SP: Papirus, 2001.</w:t>
            </w:r>
          </w:p>
          <w:p w:rsidR="006205DA" w:rsidRPr="00903FC4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 xml:space="preserve">BURITY, Joanildo A. </w:t>
            </w:r>
            <w:r w:rsidRPr="00903FC4">
              <w:rPr>
                <w:rFonts w:cs="Calibri"/>
                <w:b/>
                <w:bCs/>
                <w:sz w:val="18"/>
                <w:szCs w:val="18"/>
              </w:rPr>
              <w:t>Há cultura além do digital?</w:t>
            </w:r>
            <w:r w:rsidRPr="00903FC4">
              <w:rPr>
                <w:rFonts w:cs="Calibri"/>
                <w:bCs/>
                <w:sz w:val="18"/>
                <w:szCs w:val="18"/>
              </w:rPr>
              <w:t xml:space="preserve"> In: Cultura e Pensamento. N.01 – Maio-Junho/2007.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sz w:val="18"/>
                <w:szCs w:val="18"/>
              </w:rPr>
              <w:t xml:space="preserve">BARROS, José Márcio. </w:t>
            </w:r>
            <w:r w:rsidRPr="00903FC4">
              <w:rPr>
                <w:rFonts w:cs="Calibri"/>
                <w:b/>
                <w:sz w:val="18"/>
                <w:szCs w:val="18"/>
              </w:rPr>
              <w:t>Diversidade cultural e gestão da cultura</w:t>
            </w:r>
            <w:r w:rsidRPr="00903FC4">
              <w:rPr>
                <w:rFonts w:cs="Calibri"/>
                <w:sz w:val="18"/>
                <w:szCs w:val="18"/>
              </w:rPr>
              <w:t>. In: Revista Observatório Itaú Cultural. Nº 8 (abr/jul. 2009). São Paulo: Itaú cultural, 2009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>CANCLINI, Nestor Garcia</w:t>
            </w:r>
            <w:r w:rsidRPr="008521A3">
              <w:rPr>
                <w:b/>
                <w:sz w:val="18"/>
                <w:szCs w:val="18"/>
              </w:rPr>
              <w:t>. As culturas populares no capitalismo</w:t>
            </w:r>
            <w:r w:rsidRPr="008521A3">
              <w:rPr>
                <w:sz w:val="18"/>
                <w:szCs w:val="18"/>
              </w:rPr>
              <w:t>. São Paulo: Brasiliense, 1983.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CHIANCA, Luciana. </w:t>
            </w:r>
            <w:r w:rsidRPr="008521A3">
              <w:rPr>
                <w:b/>
                <w:sz w:val="18"/>
                <w:szCs w:val="18"/>
              </w:rPr>
              <w:t>A festa do interior</w:t>
            </w:r>
            <w:r w:rsidRPr="008521A3">
              <w:rPr>
                <w:sz w:val="18"/>
                <w:szCs w:val="18"/>
              </w:rPr>
              <w:t>: São João, migração e nostalgia em Natal no século XX. Natal, RN: EDUFRN – Editora da UFRN, 2006.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>CHINELLI, Filippina. O projeto pedagógico das Escolas de Samba e o acesso à cidadania - o caso da Mangueira. In: Educação e Multiculturalismo - favelados e meninos de rua.</w:t>
            </w:r>
            <w:r w:rsidRPr="008521A3">
              <w:rPr>
                <w:b/>
                <w:bCs/>
                <w:i/>
                <w:iCs/>
                <w:sz w:val="18"/>
                <w:szCs w:val="18"/>
              </w:rPr>
              <w:t xml:space="preserve"> Cadernos CEDES</w:t>
            </w:r>
            <w:r w:rsidRPr="008521A3">
              <w:rPr>
                <w:sz w:val="18"/>
                <w:szCs w:val="18"/>
              </w:rPr>
              <w:t>, n.33, p.43-74. São Paulo: Cortez, 1993.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CUNHA, Maria Clementina Pereira. (org.) </w:t>
            </w:r>
            <w:r w:rsidRPr="008521A3">
              <w:rPr>
                <w:b/>
                <w:sz w:val="18"/>
                <w:szCs w:val="18"/>
              </w:rPr>
              <w:t>Carnavais e outras festas</w:t>
            </w:r>
            <w:r w:rsidRPr="008521A3">
              <w:rPr>
                <w:sz w:val="18"/>
                <w:szCs w:val="18"/>
              </w:rPr>
              <w:t>: ensaios de história social da cultura. Campinas, SP: Editora da UNICAMP, CECULT, 2002.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DAMATTA, Roberto. Carnavais, paradas e procissões. In: </w:t>
            </w:r>
            <w:r w:rsidRPr="008521A3">
              <w:rPr>
                <w:b/>
                <w:bCs/>
                <w:sz w:val="18"/>
                <w:szCs w:val="18"/>
              </w:rPr>
              <w:t xml:space="preserve">Carnavais, malandros e heróis: </w:t>
            </w:r>
            <w:r w:rsidRPr="008521A3">
              <w:rPr>
                <w:sz w:val="18"/>
                <w:szCs w:val="18"/>
              </w:rPr>
              <w:t>para uma sociologia do dilema brasileiro. Rio de Janeiro: Rocco, 1997.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_____. </w:t>
            </w:r>
            <w:r w:rsidRPr="008521A3">
              <w:rPr>
                <w:b/>
                <w:bCs/>
                <w:sz w:val="18"/>
                <w:szCs w:val="18"/>
              </w:rPr>
              <w:t>O que faz o brasil, Brasil?</w:t>
            </w:r>
            <w:r w:rsidRPr="008521A3">
              <w:rPr>
                <w:sz w:val="18"/>
                <w:szCs w:val="18"/>
              </w:rPr>
              <w:t xml:space="preserve"> 12 ed. Rio de Janeiro: Rocco, 2001.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DEBORD, Guy. </w:t>
            </w:r>
            <w:r w:rsidRPr="008521A3">
              <w:rPr>
                <w:b/>
                <w:sz w:val="18"/>
                <w:szCs w:val="18"/>
              </w:rPr>
              <w:t>A sociedade do espetáculo</w:t>
            </w:r>
            <w:r w:rsidRPr="008521A3">
              <w:rPr>
                <w:sz w:val="18"/>
                <w:szCs w:val="18"/>
              </w:rPr>
              <w:t xml:space="preserve">. Tradução Estela dos Santos Abreu. Rio de Janeiro: Contraponto, 1997. 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>DORNELLES, Jonatas. Festa na rede e na secondlife. In:</w:t>
            </w:r>
            <w:r w:rsidRPr="008521A3">
              <w:rPr>
                <w:b/>
                <w:sz w:val="18"/>
                <w:szCs w:val="18"/>
              </w:rPr>
              <w:t xml:space="preserve"> Os Urbanitas</w:t>
            </w:r>
            <w:r w:rsidRPr="008521A3">
              <w:rPr>
                <w:sz w:val="18"/>
                <w:szCs w:val="18"/>
              </w:rPr>
              <w:t xml:space="preserve"> - Revista de Antropologia Urbana. Ano 4, vol. 4, n. 6, dez., 2007. &lt;http://www.aguaforte.com/osurbanitas6.html&gt;. Acesso em: 15 de janeiro de 2007.</w:t>
            </w:r>
          </w:p>
          <w:p w:rsidR="006205DA" w:rsidRPr="008521A3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DURKHEIM, Emile. O culto positivo (continuação). In: </w:t>
            </w:r>
            <w:r w:rsidRPr="008521A3">
              <w:rPr>
                <w:b/>
                <w:sz w:val="18"/>
                <w:szCs w:val="18"/>
              </w:rPr>
              <w:t>As formas elementares de vida religiosa</w:t>
            </w:r>
            <w:r w:rsidRPr="008521A3">
              <w:rPr>
                <w:sz w:val="18"/>
                <w:szCs w:val="18"/>
              </w:rPr>
              <w:t>: o sistema totêmico na Austrália. Tradução de Joaquim Pereira Neto; revisão José Joaquim Sobral. São Paulo: Edições Paulina, 1989</w:t>
            </w:r>
            <w:r>
              <w:rPr>
                <w:sz w:val="18"/>
                <w:szCs w:val="18"/>
              </w:rPr>
              <w:t>.</w:t>
            </w:r>
          </w:p>
          <w:p w:rsidR="006205DA" w:rsidRPr="008521A3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DUVIGNAUD, Jean. </w:t>
            </w:r>
            <w:r w:rsidRPr="008521A3">
              <w:rPr>
                <w:b/>
                <w:sz w:val="18"/>
                <w:szCs w:val="18"/>
              </w:rPr>
              <w:t>Festas e civilizações</w:t>
            </w:r>
            <w:r w:rsidRPr="008521A3">
              <w:rPr>
                <w:sz w:val="18"/>
                <w:szCs w:val="18"/>
              </w:rPr>
              <w:t>. Tradução L. F. Raposo Fontenelle. Fortaleza: Edições Universidade Federal do Ceará; Rio de Janeiro: Tempo Brasileiro, 1983.</w:t>
            </w:r>
          </w:p>
          <w:p w:rsidR="006205DA" w:rsidRPr="00903FC4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sz w:val="18"/>
                <w:szCs w:val="18"/>
              </w:rPr>
              <w:t xml:space="preserve">GARCÍA CANCLINI, Néstor. </w:t>
            </w:r>
            <w:r w:rsidRPr="00903FC4">
              <w:rPr>
                <w:rFonts w:cs="Calibri"/>
                <w:b/>
                <w:sz w:val="18"/>
                <w:szCs w:val="18"/>
              </w:rPr>
              <w:t>Culturas híbridas:</w:t>
            </w:r>
            <w:r w:rsidRPr="00903FC4">
              <w:rPr>
                <w:rFonts w:cs="Calibri"/>
                <w:sz w:val="18"/>
                <w:szCs w:val="18"/>
              </w:rPr>
              <w:t xml:space="preserve"> estratégias para entrar e sair da modernidade. São Paulo: editora da Universidade de São Paulo, 2011.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 xml:space="preserve">SILVEIRA, Sergio Amadeu. </w:t>
            </w:r>
            <w:r w:rsidRPr="00903FC4">
              <w:rPr>
                <w:rFonts w:cs="Calibri"/>
                <w:b/>
                <w:bCs/>
                <w:sz w:val="18"/>
                <w:szCs w:val="18"/>
              </w:rPr>
              <w:t>Direitos autorais no mundo digital</w:t>
            </w:r>
            <w:r w:rsidRPr="00903FC4">
              <w:rPr>
                <w:rFonts w:cs="Calibri"/>
                <w:bCs/>
                <w:sz w:val="18"/>
                <w:szCs w:val="18"/>
              </w:rPr>
              <w:t>. In: Revista Observatório Itaú Cultural. N. 9 (jan/abr/2010), São Paulo, Itaú Cultural, 2010.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iCs/>
                <w:sz w:val="18"/>
                <w:szCs w:val="18"/>
              </w:rPr>
              <w:t xml:space="preserve">ITANI, Alice. </w:t>
            </w:r>
            <w:r w:rsidRPr="008521A3">
              <w:rPr>
                <w:b/>
                <w:iCs/>
                <w:sz w:val="18"/>
                <w:szCs w:val="18"/>
              </w:rPr>
              <w:t>Festas e calendários</w:t>
            </w:r>
            <w:r w:rsidRPr="008521A3">
              <w:rPr>
                <w:iCs/>
                <w:sz w:val="18"/>
                <w:szCs w:val="18"/>
              </w:rPr>
              <w:t>. São Paulo: Editora UNESP, 2003</w:t>
            </w:r>
            <w:r>
              <w:rPr>
                <w:iCs/>
                <w:sz w:val="18"/>
                <w:szCs w:val="18"/>
              </w:rPr>
              <w:t>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LÉVY, Pierre. A arte na cibercultura. In: _______. </w:t>
            </w:r>
            <w:r w:rsidRPr="008521A3">
              <w:rPr>
                <w:b/>
                <w:sz w:val="18"/>
                <w:szCs w:val="18"/>
              </w:rPr>
              <w:t>Cibercultura</w:t>
            </w:r>
            <w:r w:rsidRPr="008521A3">
              <w:rPr>
                <w:sz w:val="18"/>
                <w:szCs w:val="18"/>
              </w:rPr>
              <w:t>. Tradução de Carlos Irineu da Costa. São Paulo: Ed. 34, 1999</w:t>
            </w:r>
            <w:r>
              <w:rPr>
                <w:sz w:val="18"/>
                <w:szCs w:val="18"/>
              </w:rPr>
              <w:t>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MAGNANI, José Guilherme Cantor. </w:t>
            </w:r>
            <w:r w:rsidRPr="008521A3">
              <w:rPr>
                <w:b/>
                <w:bCs/>
                <w:sz w:val="18"/>
                <w:szCs w:val="18"/>
              </w:rPr>
              <w:t>Festa no pedaço</w:t>
            </w:r>
            <w:r w:rsidRPr="008521A3">
              <w:rPr>
                <w:sz w:val="18"/>
                <w:szCs w:val="18"/>
              </w:rPr>
              <w:t>: cultura popular e lazer na cidade. São Paulo: Hucitec/UNESP, 1998.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MERIOT, Cristian. </w:t>
            </w:r>
            <w:r w:rsidRPr="008521A3">
              <w:rPr>
                <w:b/>
                <w:sz w:val="18"/>
                <w:szCs w:val="18"/>
              </w:rPr>
              <w:t>Festas, máscaras e sociedades</w:t>
            </w:r>
            <w:r w:rsidRPr="008521A3">
              <w:rPr>
                <w:sz w:val="18"/>
                <w:szCs w:val="18"/>
              </w:rPr>
              <w:t xml:space="preserve">. </w:t>
            </w:r>
            <w:r w:rsidRPr="008521A3">
              <w:rPr>
                <w:i/>
                <w:sz w:val="18"/>
                <w:szCs w:val="18"/>
              </w:rPr>
              <w:t>Vivência</w:t>
            </w:r>
            <w:r w:rsidRPr="008521A3">
              <w:rPr>
                <w:sz w:val="18"/>
                <w:szCs w:val="18"/>
              </w:rPr>
              <w:t>. V. 13, nº 1, (jan./jun. 1999) EDUFRN, UFRN, Natal, 1999, p. 55-69. Vivência. UFRN/CCHLA. vol. 13, nº 1, (jan./jun. 1999). Natal: UFRN. EDUFRN, 1999.</w:t>
            </w:r>
          </w:p>
          <w:p w:rsidR="006205DA" w:rsidRPr="008521A3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PASSOS, Mauro (org.). </w:t>
            </w:r>
            <w:r w:rsidRPr="008521A3">
              <w:rPr>
                <w:b/>
                <w:bCs/>
                <w:sz w:val="18"/>
                <w:szCs w:val="18"/>
              </w:rPr>
              <w:t>A festa na vida</w:t>
            </w:r>
            <w:r w:rsidRPr="008521A3">
              <w:rPr>
                <w:sz w:val="18"/>
                <w:szCs w:val="18"/>
              </w:rPr>
              <w:t>: significado e imagens. Petrópolis-RJ: Vozes, 2002.</w:t>
            </w:r>
          </w:p>
          <w:p w:rsidR="006205DA" w:rsidRPr="00903FC4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I Encontro Sul-Americano das Culturas Populares e II Seminário Nacional de Políticas Públicas para as Culturas Populares</w:t>
            </w:r>
            <w:r w:rsidRPr="00903FC4">
              <w:rPr>
                <w:rFonts w:cs="Calibri"/>
                <w:bCs/>
                <w:sz w:val="18"/>
                <w:szCs w:val="18"/>
              </w:rPr>
              <w:t>. São Paulo: Instituto Polis; Brasília, DF: Ministério da Cultura, 2007.</w:t>
            </w:r>
          </w:p>
          <w:p w:rsidR="006205DA" w:rsidRPr="00903FC4" w:rsidRDefault="006205DA" w:rsidP="00CA0302">
            <w:pPr>
              <w:spacing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</w:tr>
    </w:tbl>
    <w:p w:rsidR="006205DA" w:rsidRDefault="006205DA" w:rsidP="006205DA">
      <w:pPr>
        <w:spacing w:line="240" w:lineRule="auto"/>
        <w:jc w:val="left"/>
        <w:rPr>
          <w:b/>
          <w:kern w:val="28"/>
          <w:sz w:val="24"/>
          <w:szCs w:val="28"/>
        </w:rPr>
      </w:pPr>
    </w:p>
    <w:sectPr w:rsidR="00620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1E6"/>
    <w:multiLevelType w:val="multilevel"/>
    <w:tmpl w:val="1D00E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8C272F"/>
    <w:multiLevelType w:val="multilevel"/>
    <w:tmpl w:val="96E68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23E6B86"/>
    <w:multiLevelType w:val="multilevel"/>
    <w:tmpl w:val="96E68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13252F8"/>
    <w:multiLevelType w:val="hybridMultilevel"/>
    <w:tmpl w:val="70BC48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DA"/>
    <w:rsid w:val="006205DA"/>
    <w:rsid w:val="006E554B"/>
    <w:rsid w:val="00D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DA"/>
    <w:pPr>
      <w:spacing w:after="0" w:line="360" w:lineRule="auto"/>
      <w:jc w:val="both"/>
    </w:pPr>
    <w:rPr>
      <w:rFonts w:ascii="Calibri" w:eastAsia="Times New Roman" w:hAnsi="Calibri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20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DA"/>
    <w:pPr>
      <w:spacing w:after="0" w:line="360" w:lineRule="auto"/>
      <w:jc w:val="both"/>
    </w:pPr>
    <w:rPr>
      <w:rFonts w:ascii="Calibri" w:eastAsia="Times New Roman" w:hAnsi="Calibri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20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uaforte.com/antropologia/amaral-carnaval-2006.html" TargetMode="External"/><Relationship Id="rId13" Type="http://schemas.openxmlformats.org/officeDocument/2006/relationships/hyperlink" Target="http://www.portalseer.ufba.br/index.php/contemporaneaposcom/issue/view/3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uaforte.com/antropologia/festaabrasileira/Bibliografiadatesefesta.html" TargetMode="External"/><Relationship Id="rId12" Type="http://schemas.openxmlformats.org/officeDocument/2006/relationships/hyperlink" Target="http://www.aguaforte.com/antropologia/Clubbers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guaforte.com/antropologia/festaabrasileira/Bibliografiadatesefesta.html" TargetMode="External"/><Relationship Id="rId11" Type="http://schemas.openxmlformats.org/officeDocument/2006/relationships/hyperlink" Target="http://www.aguaforte.com/antropologia/CHIANC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lo.br/pdf/ra/v45n1/a02v45n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scielo.php?pid=S0104-59702000000500012&amp;script=sci_arttext" TargetMode="External"/><Relationship Id="rId14" Type="http://schemas.openxmlformats.org/officeDocument/2006/relationships/hyperlink" Target="http://www.aguaforte.com/antropologia/AnaisIIColoquioFestaseSociabilidades2008UFRN-RitaAmaral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1660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da Cunha Pessoa</dc:creator>
  <cp:lastModifiedBy>Nara da Cunha Pessoa</cp:lastModifiedBy>
  <cp:revision>2</cp:revision>
  <dcterms:created xsi:type="dcterms:W3CDTF">2013-06-11T21:10:00Z</dcterms:created>
  <dcterms:modified xsi:type="dcterms:W3CDTF">2013-06-11T21:10:00Z</dcterms:modified>
</cp:coreProperties>
</file>