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2A" w:rsidRPr="00D40E2A" w:rsidRDefault="00D40E2A" w:rsidP="00D40E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</w:pPr>
      <w:r w:rsidRPr="00D40E2A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 xml:space="preserve">Ministro da Cultura, Gilberto Gil, no encontro de Balanço Final do primeiro ano de sua gestão à frente do </w:t>
      </w:r>
      <w:proofErr w:type="gramStart"/>
      <w:r w:rsidRPr="00D40E2A">
        <w:rPr>
          <w:rFonts w:ascii="Times New Roman" w:eastAsia="Times New Roman" w:hAnsi="Times New Roman" w:cs="Times New Roman"/>
          <w:b/>
          <w:bCs/>
          <w:sz w:val="36"/>
          <w:szCs w:val="36"/>
          <w:lang w:val="pt-BR"/>
        </w:rPr>
        <w:t>MinC</w:t>
      </w:r>
      <w:proofErr w:type="gramEnd"/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SÃO PAULO, 18 DE DEZEMBRO DE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2003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Meus amigos, minhas amigas, companheiros e companheiras do Ministério da Cultura: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Na abertura mesma do seu discurso de posse, no dia primeiro de janeiro deste ano de que estamos nos despedindo, o presidente Lula disse o seguinte: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‘Mudança. Esta é a palavra-chave. Esta foi a grande mensagem da sociedade brasileira nas eleições de outubro. Diante do fracasso de um modelo econômico que, em vez de gerar crescimento, produziu desemprego e fome; diante de ameaças à soberania nacional e do escândalo diário da corrupção; diante da falência dos sistemas de saúde, de educação e de segurança pública; diante do desrespeito aos mais velhos e do desalento dos mais jovens; diante de tantas esperanças frustradas; diante, enfim, da perspectiva de um colapso econômico, social e moral – a sociedade brasileira escolheu mudar… Este foi o sentido de cada voto dado a mim e aos meus companheiros. E eu estou aqui para isso mesmo. Para mudar. Para imprimir, à mudança, um caráter de intensidade prática’.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Assim, quando aceitei o convite do presidente Lula para ser o ministro da Cultura de seu governo, o meu engajamento, nesse projeto de transformação nacional, ganhou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uma outra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natureza e assumiu um outro significado. Tratava-se, agora, de meter a mão na massa. De atuar não como espectador, mas como protagonista. Não na arquibancada, mas dentro do campo, suando a camisa do time da mudança.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No meu discurso de posse, em diálogo e em sintonia com a fala presidencial, anunciei isso. Teríamos um novo Ministério da Cultura e uma nova política cultural – aberta, transformadora, democrática – para o Brasil. Teríamos um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MinC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inserido no projeto de construção de uma nova hegemonia no país. No projeto geral de construção de uma nova nação. E o que tenho a dizer aqui,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antes de mais nada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é que, ao longo deste ano de 2003, a equipe do MinC esteve empenhada de fato, em todos os espaços e em todos os instantes de sua ação e de sua reflexão, na tarefa de concretizar, no plano da gestão cultural, o movimento de mudança deflagrado pela eleição do presidente Lula. Começando pela incorporação de um novo conceito de cultura – como norte e fundamento do nosso desempenho – e pela busca de um novo posicionamento do Ministério no campo da cultura brasileira.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Em primeiro lugar, o novo conceito de cultura. Ele se impôs de imediato. Era preciso abarcar a vida cultural brasileira, simultaneamente, em sua unidade e em sua multiplicidade. Em suas variações regionais, em seus traços distintivos internos, em suas diferentes colorações sociais, em sua vasta gama de formas e de sentidos. Era preciso pensar a cultura em termos de inclusão e cidadania, tanto em sua dimensão simbólica quanto em sua dimensão econômica. Era preciso não dissociar nação e cultura, cultura e soberania nacional, cultura e afirmação do Brasil no mundo. E foi por tudo isso que decidimos deixar definitivamente para trás noções elitistas e restritivas do fenômeno cultural, adotando um conceito mais amplo, mais rico, de caráter </w:t>
      </w: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antropológico, capaz de nos permitir encarar o Brasil, em seu conjunto, como um fato de cultura. E a própria adoção deste novo conceito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implicou,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como todos vocês sabem, o desencadeamento de uma discussão ou de uma luta ideológico-cultural na qual ainda estamos engajados, em conseqüência do fato de que este novo conceito exige, de muita gente, uma alteração profunda de atitudes práticas e mentais. E sabemos que isto não ocorre de uma hora para a outra, nem acontece sem resistências e incompreensões. Ainda vivemos dias de esclarecimento e convencimento.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Quanto ao novo posicionamento do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MinC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ele teria de se dar no contexto preciso da retomada do papel do Estado na sociedade brasileira, depois de anos de omissões e demissões neoliberais. Em nosso caso específico, constatamos que o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MinC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havia simplesmente renunciado à sua missão, expulsando a cultura do âmbito dos deveres estatais – e caminhado para trás, no sentido de seu empobrecimento financeiro e técnico. Era, enfim, como um balão de bucha apagada, inteiramente entregue, em sua trajetória descendente, ao movimento dos ventos do mercado. Tínhamos, portanto, três tarefas pela frente. Reconduzir o Ministério à sua função nuclear de gerador e executor de políticas públicas para a cultura. Realizar uma reforma administrativa. E sair a campo em busca de recursos para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implementar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estas políticas. A mudança teria de ocorrer, portanto, também dentro de casa, pois só assim poderíamos criar condições para ter uma presença forte e eficaz em nosso horizonte de cultura. Formulamos assim alguns projetos que julgamos básicos e essenciais, nas vertentes da inclusão sócio-cultural e do patrimônio. Realizamos a reforma do Ministério, que ainda terá desdobramentos. E fomos à luta por mais recursos.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Nesse último caso, aliás, nosso apelo obteve resposta sensível e imediata do Congresso Nacional, com a formação, em outubro, de uma frente parlamentar suprapartidária, a Frente Parlamentar em Defesa da Cultura, signo efetivo de que a esfera política começa a olhar com outros olhos o universo cultural, do qual, em última análise, faz parte. Como primeiro resultado objetivo, a aprovação de emendas propostas por estes nossos aliados no Congresso deverá significar, para a ação ministerial pública, cerca de 900 milhões de reais. Além disso, é fato que nosso orçamento cresceu 70%. E que conseguimos elevar o teto da renúncia fiscal – de 160 para 401 milhões de reais.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Somando-se à aproximação com o Congresso, tivemos uma atuação interministerial. Nosso objetivo, aqui, foi dar realce à dimensão cultural presente em toda política pública – especialmente, num país como o Brasil. E este esforço começa a dar os seus primeiros frutos. Exemplo disso é o Acordo de Cooperação Técnica entre os ministérios da Cultura, do Meio Ambiente e das Cidades, firmado no último dia 2 de dezembro. Este acordo – que sublinha a essência cultural e os aspectos ambientais do crescimento das cidades – visa à gestão compartilhada do desenvolvimento territorial e urbano de áreas situadas em biomas brasileiros ou que abriguem sítios históricos e manifestações expressivas de nosso patrimônio imaterial. Mas a meta maior, neste plano de nossa atuação, é certamente inscrever a cultura no cerne mesmo da agenda estratégica do Governo.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Mas é evidente que não existimos apenas para ações entre pares ou intramuros. Existimos, sobretudo, para a sociedade. Para promover o desenvolvimento cultural da sociedade brasileira, com todas as implicações pedagógicas, sociais, políticas e econômicas implicadas em tal missão. </w:t>
      </w: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E foi com isto em mente que elaboramos os projetos a que me referi. Alguns já em andamento, como o da Estação da Luz da Nossa Língua, que estamos desenvolvendo em parceria com a Fundação Roberto Marinho, e que será uma espécie de monumento vivo da língua portuguesa, localizado no centro de São Paulo. Outros, em vésperas de execução, como o das BACs, as Bases de Apoio à Cultura, com o seu desenho arquitetônico ao mesmo tempo rigoroso e primoroso.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Em lugares onde não há cinemas, acesso a shoppings ou a teatros luxuosos, onde há carências de formação técnica, de inclusão digital e mesmo de domínio da língua e da escrita, é que o Ministério da Cultura pretende implantar as BACs. Cada BAC irá funcionar como um centro de alfabetização e inclusão digitais, como espaço de veiculação de informações, como lugar para apresentação de manifestações e grupos culturais, como sede comunitária, como núcleo de criação e produção locais. 2004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assistirá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uma onda de BACs implantando-se no país.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Já entre as ações que estão se desdobrando, devemos dar destaque ao Programa Brasileiro de Cinema e Audiovisual. Com a vinculação da Ancine, a Agência Nacional de Cinema, ao Ministério da Cultura,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demos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início a uma nova política audiovisual em nosso país. O problema do cinema brasileiro passa a ser visto agora num horizonte mais amplo que o das medidas pontuais e o das leis de incentivo. A questão do acesso público ao cinema nacional ganha prioridade. E nos preparamos para enfrentar a questão crucial da distribuição, de modo que a produção brasileira venha a ter condições de competir em seu próprio mercado. Mas também fora dele, com a Ancine atuando em sintonia com a atenção que o Governo Lula vem dando à empresa nacional e à balança comercial brasileira. Por fim, pretendemos ampliar e aprofundar uma parceria já existente hoje, que é a do cinema e da televisão. Parceria estética, intelectual e econômica – como costumo dizer. E logo a Ancine irá se ampliar em Ancinav, Agência Nacional de Cinema e do Audiovisual, a fim de responder à atual complexidade do setor. Em síntese, o que se configurou, com esta movimentação, foi um novo ponto de partida. Ou, como bem disse o cineasta Cacá Diegues, ‘o marco zero para o crescimento do nosso cinema, da televisão e do audiovisual’.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paisagem começa a clarear, também, no terreno fundamental do patrimônio. Não podemos nos esquecer de que o que chegou às nossas mãos, nesse caso, foi uma herança monstruosa, um legado de crimes contra a memória e a vida da nação. Um patrimônio histórico-cultural caindo aos pedaços, com prédios chagosos, arruinados, desaparecendo entre incêndios e tombamentos. E um Ministério inoperante. Diante disso, demos vida ao Programa Monumenta. Redirecionamos seus gastos, canalizando-os não para rotinas administrativas, mas para intervenções. Com isso, foi possível realizar obras em 16 cidades brasileiras e iniciar trabalhos em outras 13. Cidades como Lençóis, Cachoeira, Olinda, Ouro Preto, Corumbá, Diamantina, Rio de Janeiro, Salvador. Estamos dando os passos iniciais para a implantação do Sistema Nacional de Museus. E ainda no início desta semana anunciamos a construção, em parceria com a iniciativa privada, do Museu de Congonhas – Centro de Estudos do Barroco e da Pedra’, em Congonhas, Minas Gerais, sob a luz densa e dramática dos profetas do Aleijadinho – museu que, tendo como curador Emanoel Araújo, será projetado por Álvaro Siza, um dos mais importantes arquitetos contemporâneos.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Ainda nesse plano da memória viva, da reflexão sobre o nosso passado e sobre a formação da gente brasileira, não podemos deixar de mencionar o lançamento da revista ‘Nossa História’, </w:t>
      </w: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publicada pela Fundação Biblioteca Nacional. Apoiada por alguns dos principais nomes da historiografia brasileira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, ‘Nossa História’ fez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sucesso já em seu primeiro número. Uma revista mensal, com tiragem de 50 mil exemplares, vendidas em bancas de revista espalhadas por todo o país. E o que é importante: com uma linguagem adequada às bancas. Linguagem clara, acessível, nada acadêmica, sem confundir o complexo com o complicado.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 outra parte, entramos na reta final da reforma da assim chamada Lei Rouanet, com todos os instrumentos jurídicos necessários à sua implantação, de decreto a portarias. Em nosso calendário, o projeto de reforma da legislação deverá ser enviado à Casa Civil no próximo mês de janeiro. Nossa previsão era para agosto passado. Não deu. Por um motivo simples: optamos pelo processo participativo. Abrimos um amplo debate democrático sobre a matéria, em escala nacional, com os seminários ‘Cultura para Todos’. Resultado: recebemos milhares de sugestões. E como todas elas foram examinadas com atenção e seriedade, não houve como não alterar a data. Mas democracia é assim mesmo. Não é ciência. É paciência.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Mas a nossa visão da economia da cultura não permitiria que nos limitássemos, nessa área, à proposta de reformulação de uma peça jurídica. Sabemos que um bem simbólico é, ao mesmo tempo, um produto cultural, político e econômico. A cultura deve ser vista, por esse prisma, como um setor dinâmico de nossa economia, como espaço de geração de emprego e renda. Além disso, o Brasil exporta bens culturais, de filmes a canções, o que significa captação de divisas para o país. Desse modo, por pensar a inclusão social na cultura e pela cultura, por pensar a cultura também em termos econômicos, o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MinC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construiu-se como interlocutor privilegiado e fomentador da discussão sobre as contribuições da cultura para o desenvolvimento do país.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A referência à exportação de bens culturais me leva, imediatamente, ao plano internacional. Como isto aqui é um balanço de nossos primeiros 12 meses de trabalho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, volto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então ao meu discurso de posse, onde afirmei: ‘Juntamente com o Ministério das Relações Exteriores, temos de pensar, modelar e inserir a imagem do Brasil no mundo. Temos de nos posicionar estrategicamente no campo magnético do Governo Lula, com a sua ênfase na afirmação soberana do Brasil no cenário internacional’. Nesse particular, estamos atuando internacionalmente, sobretudo, em defesa da diversidade cultural, seja com relação ao chamamento da </w:t>
      </w:r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>Unesco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seja na viagem do presidente Lula à África, seja no lançamento do chamado ‘Apelo de Roma’, cujas discussões irão desembocar no Fórum Mundial de Cultura, que vai acontecer aqui na cidade de São Paulo, entre junho e julho de 2004.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40E2A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Bem. O que acabei de traçar aqui, em linhas gerais, foi apenas um esboço sucinto e esquemático do que fizemos e/ou começamos a fazer em 2003. Uma leitura bastante genérica e a vôo de pássaro, sem a preocupação de compor um rol exaustivo ou de descer a detalhes, a minúcias de relatório, citando tópicos, nomes, números, cifras e siglas. Em resumo, acho que podemos dizer o seguinte. Temos nos movido no horizonte do possível. Temos pensamento, temos capacidade de articulação política e social, temos projetos, temos desencadeado ações. Mas que ninguém se engane. O que demos, até aqui, foram apenas uns poucos e primeiros passos. E o que queremos é muito mais. Para isso, sabemos que podemos contar com todas as nossas reservas de energia, de criatividade, de dedicação. E é exatamente isso o que estamos na obrigação de demonstrar em 2004. Porque não queremos um Ministério apenas ‘participativo’, mas também um Ministério ‘de resultados’. Ou seja: um Ministério de discurso e ação. De palavra e obra. </w:t>
      </w:r>
    </w:p>
    <w:p w:rsidR="00D40E2A" w:rsidRPr="00D40E2A" w:rsidRDefault="00D40E2A" w:rsidP="00D40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D40E2A">
        <w:rPr>
          <w:rFonts w:ascii="Times New Roman" w:eastAsia="Times New Roman" w:hAnsi="Times New Roman" w:cs="Times New Roman"/>
          <w:sz w:val="24"/>
          <w:szCs w:val="24"/>
        </w:rPr>
        <w:lastRenderedPageBreak/>
        <w:t>Muito</w:t>
      </w:r>
      <w:proofErr w:type="spellEnd"/>
      <w:r w:rsidRPr="00D40E2A">
        <w:rPr>
          <w:rFonts w:ascii="Times New Roman" w:eastAsia="Times New Roman" w:hAnsi="Times New Roman" w:cs="Times New Roman"/>
          <w:sz w:val="24"/>
          <w:szCs w:val="24"/>
        </w:rPr>
        <w:t xml:space="preserve"> obrigado.</w:t>
      </w:r>
      <w:proofErr w:type="gramEnd"/>
      <w:r w:rsidRPr="00D4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3B05" w:rsidRDefault="00FB3B05"/>
    <w:sectPr w:rsidR="00FB3B05" w:rsidSect="00FB3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0E2A"/>
    <w:rsid w:val="00D40E2A"/>
    <w:rsid w:val="00E4360A"/>
    <w:rsid w:val="00FB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05"/>
  </w:style>
  <w:style w:type="paragraph" w:styleId="Ttulo2">
    <w:name w:val="heading 2"/>
    <w:basedOn w:val="Normal"/>
    <w:link w:val="Ttulo2Char"/>
    <w:uiPriority w:val="9"/>
    <w:qFormat/>
    <w:rsid w:val="00D40E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40E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4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2106</Words>
  <Characters>12010</Characters>
  <Application>Microsoft Office Word</Application>
  <DocSecurity>0</DocSecurity>
  <Lines>100</Lines>
  <Paragraphs>28</Paragraphs>
  <ScaleCrop>false</ScaleCrop>
  <Company>Hewlett-Packard</Company>
  <LinksUpToDate>false</LinksUpToDate>
  <CharactersWithSpaces>14088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</dc:creator>
  <cp:lastModifiedBy>Pessoa</cp:lastModifiedBy>
  <cp:revision>1</cp:revision>
  <dcterms:created xsi:type="dcterms:W3CDTF">2013-09-09T02:41:00Z</dcterms:created>
  <dcterms:modified xsi:type="dcterms:W3CDTF">2013-09-09T02:56:00Z</dcterms:modified>
</cp:coreProperties>
</file>