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C5" w:rsidRPr="008E60C5" w:rsidRDefault="008E60C5" w:rsidP="008E60C5">
      <w:pPr>
        <w:spacing w:after="0" w:line="240" w:lineRule="auto"/>
        <w:jc w:val="both"/>
        <w:outlineLvl w:val="2"/>
        <w:rPr>
          <w:rFonts w:ascii="Arial" w:eastAsia="Times New Roman" w:hAnsi="Arial" w:cs="Arial"/>
          <w:b/>
          <w:bCs/>
          <w:lang w:eastAsia="pt-BR"/>
        </w:rPr>
      </w:pPr>
      <w:r w:rsidRPr="008E60C5">
        <w:rPr>
          <w:rFonts w:ascii="Arial" w:eastAsia="Times New Roman" w:hAnsi="Arial" w:cs="Arial"/>
          <w:b/>
          <w:bCs/>
          <w:lang w:eastAsia="pt-BR"/>
        </w:rPr>
        <w:t>GAZETA DO POVO – QUANTO VALE O SHOW, 21/05/2012.</w:t>
      </w:r>
    </w:p>
    <w:p w:rsidR="008E60C5" w:rsidRPr="008E60C5" w:rsidRDefault="008E60C5" w:rsidP="008E60C5">
      <w:pPr>
        <w:spacing w:after="0" w:line="240" w:lineRule="auto"/>
        <w:jc w:val="both"/>
        <w:outlineLvl w:val="2"/>
        <w:rPr>
          <w:rFonts w:ascii="Arial" w:hAnsi="Arial" w:cs="Arial"/>
        </w:rPr>
      </w:pPr>
      <w:hyperlink r:id="rId5" w:history="1">
        <w:r w:rsidRPr="008E60C5">
          <w:rPr>
            <w:rStyle w:val="Hyperlink"/>
            <w:rFonts w:ascii="Arial" w:hAnsi="Arial" w:cs="Arial"/>
            <w:color w:val="auto"/>
          </w:rPr>
          <w:t>http://www.gazetadopovo.com.br/blogs/quanto-vale-o-show/mudancas-proximas-na-lei-roaunet/</w:t>
        </w:r>
      </w:hyperlink>
      <w:r w:rsidRPr="008E60C5">
        <w:rPr>
          <w:rFonts w:ascii="Arial" w:hAnsi="Arial" w:cs="Arial"/>
        </w:rPr>
        <w:t xml:space="preserve"> &lt;Acesso em 18/08/2013&gt;</w:t>
      </w:r>
    </w:p>
    <w:p w:rsidR="008E60C5" w:rsidRPr="008E60C5" w:rsidRDefault="008E60C5" w:rsidP="008E60C5">
      <w:pPr>
        <w:spacing w:after="0" w:line="240" w:lineRule="auto"/>
        <w:jc w:val="both"/>
        <w:outlineLvl w:val="2"/>
        <w:rPr>
          <w:rFonts w:ascii="Arial" w:eastAsia="Times New Roman" w:hAnsi="Arial" w:cs="Arial"/>
          <w:b/>
          <w:bCs/>
          <w:lang w:eastAsia="pt-BR"/>
        </w:rPr>
      </w:pPr>
    </w:p>
    <w:p w:rsidR="008E60C5" w:rsidRPr="008E60C5" w:rsidRDefault="008E60C5" w:rsidP="008E60C5">
      <w:pPr>
        <w:spacing w:after="0" w:line="240" w:lineRule="auto"/>
        <w:jc w:val="center"/>
        <w:outlineLvl w:val="2"/>
        <w:rPr>
          <w:rFonts w:ascii="Arial" w:eastAsia="Times New Roman" w:hAnsi="Arial" w:cs="Arial"/>
          <w:b/>
          <w:bCs/>
          <w:lang w:eastAsia="pt-BR"/>
        </w:rPr>
      </w:pPr>
      <w:r w:rsidRPr="008E60C5">
        <w:rPr>
          <w:rFonts w:ascii="Arial" w:eastAsia="Times New Roman" w:hAnsi="Arial" w:cs="Arial"/>
          <w:b/>
          <w:bCs/>
          <w:lang w:eastAsia="pt-BR"/>
        </w:rPr>
        <w:t>Mudanças próximas na Lei Roaunet</w:t>
      </w:r>
    </w:p>
    <w:p w:rsidR="0080350E" w:rsidRPr="008E60C5" w:rsidRDefault="0080350E" w:rsidP="008E60C5">
      <w:pPr>
        <w:jc w:val="both"/>
        <w:rPr>
          <w:rFonts w:ascii="Arial" w:hAnsi="Arial" w:cs="Arial"/>
        </w:rPr>
      </w:pPr>
    </w:p>
    <w:p w:rsidR="008E60C5" w:rsidRPr="008E60C5" w:rsidRDefault="008E60C5" w:rsidP="008E60C5">
      <w:pPr>
        <w:jc w:val="both"/>
        <w:rPr>
          <w:rFonts w:ascii="Arial" w:hAnsi="Arial" w:cs="Arial"/>
          <w:color w:val="000000"/>
        </w:rPr>
      </w:pPr>
      <w:r w:rsidRPr="008E60C5">
        <w:rPr>
          <w:rFonts w:ascii="Arial" w:hAnsi="Arial" w:cs="Arial"/>
          <w:color w:val="000000"/>
        </w:rPr>
        <w:t>Estive em São Paulo neste final de semana onde ocorreu o seminário para discussão do projeto de lei do Procultura, mecanismo que se aprovado deverá substituir a lei nacional de incentivo à cultura 8113/91 conhecida como Lei Rouanet. O evento organizado pelo portal Cultura e Mercado e pelo CEMEC, Centro de Estudos de Mídia, Entretenimento e Cultura, contou com a presença de autoridades do Ministério da Cultura, representantes de diversas entidades ligadas ao setor e do deputado Pedro Eugênio (PT-PE), relator do projeto na Comissão de Finanças e Tributação da Câmara Federal.</w:t>
      </w:r>
    </w:p>
    <w:p w:rsidR="008E60C5" w:rsidRPr="008E60C5" w:rsidRDefault="008E60C5" w:rsidP="008E60C5">
      <w:pPr>
        <w:pStyle w:val="NormalWeb"/>
        <w:spacing w:before="180" w:beforeAutospacing="0" w:after="180" w:afterAutospacing="0" w:line="330" w:lineRule="atLeast"/>
        <w:jc w:val="both"/>
        <w:rPr>
          <w:rFonts w:ascii="Arial" w:hAnsi="Arial" w:cs="Arial"/>
          <w:color w:val="000000"/>
          <w:sz w:val="22"/>
          <w:szCs w:val="22"/>
        </w:rPr>
      </w:pPr>
      <w:r w:rsidRPr="008E60C5">
        <w:rPr>
          <w:rFonts w:ascii="Arial" w:hAnsi="Arial" w:cs="Arial"/>
          <w:color w:val="000000"/>
          <w:sz w:val="22"/>
          <w:szCs w:val="22"/>
        </w:rPr>
        <w:t>O Secretário do Ministério da Cultura, Henilton Menezes, fez uma apresentação sobre os números da Rouanet atual, e uma retrospectiva da lei que contabiliza 20 anos de existência. Apontou que a legislação teria como mecanismos de ação três vertentes: Fundo Nacional de Cultura (FNC), Renúncia Fiscal (Mecenato) e o FICART (Fundo de Investimento Cultural e Artístico), que na realidade nunca foi implantado. Isso aliado ao enfraquecimento do FNC vem desgastando e criando uma série de distorções na lei. Existem três mecanismos, mas todos buscam recursos no mecenato o único que vem funcionando.</w:t>
      </w:r>
    </w:p>
    <w:p w:rsidR="008E60C5" w:rsidRPr="008E60C5" w:rsidRDefault="008E60C5" w:rsidP="008E60C5">
      <w:pPr>
        <w:pStyle w:val="NormalWeb"/>
        <w:spacing w:before="180" w:beforeAutospacing="0" w:after="180" w:afterAutospacing="0" w:line="330" w:lineRule="atLeast"/>
        <w:jc w:val="both"/>
        <w:rPr>
          <w:rFonts w:ascii="Arial" w:hAnsi="Arial" w:cs="Arial"/>
          <w:color w:val="000000"/>
          <w:sz w:val="22"/>
          <w:szCs w:val="22"/>
        </w:rPr>
      </w:pPr>
      <w:r w:rsidRPr="008E60C5">
        <w:rPr>
          <w:rFonts w:ascii="Arial" w:hAnsi="Arial" w:cs="Arial"/>
          <w:color w:val="000000"/>
          <w:sz w:val="22"/>
          <w:szCs w:val="22"/>
        </w:rPr>
        <w:t>Pra piorar a situação nos últimos anos criou-se um enorme desequilíbrio entre os valores do Fundo Nacional de Cultural e da Renúncia Fiscal. Pra se ter uma ideia neste ano os valores aprovados pela LDO para renúncia fiscal cultural chegam a R$ 1,6 bilhão, enquanto que o fundo está orçado em R$ 250 milhões. Uma disparidade que vem criando uma lógica muito perversa no sistema cultural brasileiro.</w:t>
      </w:r>
    </w:p>
    <w:p w:rsidR="008E60C5" w:rsidRPr="008E60C5" w:rsidRDefault="008E60C5" w:rsidP="008E60C5">
      <w:pPr>
        <w:pStyle w:val="NormalWeb"/>
        <w:spacing w:before="180" w:beforeAutospacing="0" w:after="180" w:afterAutospacing="0" w:line="330" w:lineRule="atLeast"/>
        <w:jc w:val="both"/>
        <w:rPr>
          <w:rFonts w:ascii="Arial" w:hAnsi="Arial" w:cs="Arial"/>
          <w:color w:val="000000"/>
          <w:sz w:val="22"/>
          <w:szCs w:val="22"/>
        </w:rPr>
      </w:pPr>
      <w:r w:rsidRPr="008E60C5">
        <w:rPr>
          <w:rFonts w:ascii="Arial" w:hAnsi="Arial" w:cs="Arial"/>
          <w:color w:val="000000"/>
          <w:sz w:val="22"/>
          <w:szCs w:val="22"/>
        </w:rPr>
        <w:t>Para corrigir estas e outras distorções, o governo federal enviou um texto que revoga a lei Rouanet e implanta um sistema que tenta ser mais coerente com as necessidades da sociedade brasileira. Depois de passar por modificações na Comissão de Educação e Cultura com relatoria da deputada Alice Portugal (PCdoB-BA), o texto seguiu para a Comissão de Finanças e Tributação onde o relator, Deputado Pedro Eugênio (PT-PE), propõe novas alterações.</w:t>
      </w:r>
    </w:p>
    <w:p w:rsidR="008E60C5" w:rsidRPr="008E60C5" w:rsidRDefault="008E60C5" w:rsidP="008E60C5">
      <w:pPr>
        <w:pStyle w:val="NormalWeb"/>
        <w:spacing w:before="180" w:beforeAutospacing="0" w:after="180" w:afterAutospacing="0" w:line="330" w:lineRule="atLeast"/>
        <w:jc w:val="both"/>
        <w:rPr>
          <w:rFonts w:ascii="Arial" w:hAnsi="Arial" w:cs="Arial"/>
          <w:color w:val="000000"/>
          <w:sz w:val="22"/>
          <w:szCs w:val="22"/>
        </w:rPr>
      </w:pPr>
      <w:r w:rsidRPr="008E60C5">
        <w:rPr>
          <w:rFonts w:ascii="Arial" w:hAnsi="Arial" w:cs="Arial"/>
          <w:color w:val="000000"/>
          <w:sz w:val="22"/>
          <w:szCs w:val="22"/>
        </w:rPr>
        <w:t>A nova proposta do deputado, apresentada em primeira mão no seminário, propõe a desconcentração, descentralização e democratização dos recursos públicos. Hoje, quando falamos de renúncia fiscal cultural mais de 79% dos recursos disponíveis são aplicados no eixo Rio-São Paulo. O Paraná está em quinto lugar na captação de recursos com apenas 3,4% dos incentivos federais, a maioria destes recursos são das estatais do estado, principalmente da Copel, mas em alguns estados do norte o percentual de recursos chega a zero.</w:t>
      </w:r>
    </w:p>
    <w:p w:rsidR="008E60C5" w:rsidRPr="008E60C5" w:rsidRDefault="008E60C5" w:rsidP="008E60C5">
      <w:pPr>
        <w:pStyle w:val="NormalWeb"/>
        <w:spacing w:before="180" w:beforeAutospacing="0" w:after="180" w:afterAutospacing="0" w:line="330" w:lineRule="atLeast"/>
        <w:jc w:val="both"/>
        <w:rPr>
          <w:rFonts w:ascii="Arial" w:hAnsi="Arial" w:cs="Arial"/>
          <w:color w:val="000000"/>
          <w:sz w:val="22"/>
          <w:szCs w:val="22"/>
        </w:rPr>
      </w:pPr>
      <w:r w:rsidRPr="008E60C5">
        <w:rPr>
          <w:rFonts w:ascii="Arial" w:hAnsi="Arial" w:cs="Arial"/>
          <w:color w:val="000000"/>
          <w:sz w:val="22"/>
          <w:szCs w:val="22"/>
        </w:rPr>
        <w:lastRenderedPageBreak/>
        <w:t>Segundo Henilton Menezes, as áreas com maior captação são: música: 27%, teatro: 25%, humanidades: 15% e audiovisual 11%, lembrando que o cinema brasileiro conta também com outra legislação específica, como a Lei do Audiovisual e Fundo Nacional de Cinema. Aliás, o FUNCINE por conta da nova lei 12485/11 de TV por assinatura, recebeu recentemente novos aportes de recursos para a produção independente e que serão administrados e repassados através do BRDES.</w:t>
      </w:r>
    </w:p>
    <w:p w:rsidR="008E60C5" w:rsidRPr="008E60C5" w:rsidRDefault="008E60C5" w:rsidP="008E60C5">
      <w:pPr>
        <w:pStyle w:val="NormalWeb"/>
        <w:spacing w:before="180" w:beforeAutospacing="0" w:after="180" w:afterAutospacing="0" w:line="330" w:lineRule="atLeast"/>
        <w:jc w:val="both"/>
        <w:rPr>
          <w:rFonts w:ascii="Arial" w:hAnsi="Arial" w:cs="Arial"/>
          <w:color w:val="000000"/>
          <w:sz w:val="22"/>
          <w:szCs w:val="22"/>
        </w:rPr>
      </w:pPr>
      <w:r w:rsidRPr="008E60C5">
        <w:rPr>
          <w:rFonts w:ascii="Arial" w:hAnsi="Arial" w:cs="Arial"/>
          <w:color w:val="000000"/>
          <w:sz w:val="22"/>
          <w:szCs w:val="22"/>
        </w:rPr>
        <w:t>A principal mudança da lei Rouanet para o Procultura diz respeito ao percentual de isenção fiscal de um determinado projeto. A lei deve separar o grande do pequeno proponente. Este último passa a contar com 100% de isenção fiscal para o projeto. Já o grande proponente passará por critérios de pontuação como: acessibilidade, formação profissional, preservação de patrimônio, benefícios sociais entre outros. São 19 pontos onde o proponente deverá cumprir ao menos 12 para que o projeto tenha 100% de isenção fiscal. Projetos que tenham uma ótica totalmente mercadológica terão apoio através de outro mecanismo, o FICART. Um tipo de financiamento parecido com as linhas de crédito do BNDES, onde o banco operador do fundo entrará como sócio econômico do projeto. Terá controle e regulamentação da CVM, Câmara de valores Mobiliários. Isso deverá tirar da renúncia os projetos polêmicos com forte viabilidade econômica, mas que necessitam de capital de risco para acontecerem. Grandes eventos como o Rock in Rio, por exemplo, entrariam no FICART, que terá como meta fortalecer o empreendedorismo na área cultural.</w:t>
      </w:r>
    </w:p>
    <w:p w:rsidR="008E60C5" w:rsidRPr="008E60C5" w:rsidRDefault="008E60C5" w:rsidP="008E60C5">
      <w:pPr>
        <w:pStyle w:val="NormalWeb"/>
        <w:spacing w:before="180" w:beforeAutospacing="0" w:after="180" w:afterAutospacing="0" w:line="330" w:lineRule="atLeast"/>
        <w:jc w:val="both"/>
        <w:rPr>
          <w:rFonts w:ascii="Arial" w:hAnsi="Arial" w:cs="Arial"/>
          <w:color w:val="000000"/>
          <w:sz w:val="22"/>
          <w:szCs w:val="22"/>
        </w:rPr>
      </w:pPr>
      <w:r w:rsidRPr="008E60C5">
        <w:rPr>
          <w:rFonts w:ascii="Arial" w:hAnsi="Arial" w:cs="Arial"/>
          <w:color w:val="000000"/>
          <w:sz w:val="22"/>
          <w:szCs w:val="22"/>
        </w:rPr>
        <w:t>O projeto de lei propõe ainda alterações nos valores de renúncia, visando com isso o fortalecimento do Fundo Nacional de Cultura. Hoje a empresa incentivadora pode destinar 4% do IRPJ para projetos aprovados pela Comissão Nacional de Incentivo à Cultura. Pela proposta este percentual poderá chegar 6%. Para isso a empresa deve destinar o quinto 1% para o Fundo Nacional de Cultura. Para utilizar mais recursos em projetos incentiváveis pela renúncia a empresa deverá “adquirir” mais 1% através de uma doação de 20% sobre o valor ao Fundo Nacional de Cultura. Este percentual subirá progressivamente em quatro anos até 50% e não poderá ter origem na própria renúncia. Ou seja, as empresas terão que desembolsar recursos e então passariam a financiar em parte o FNC.</w:t>
      </w:r>
    </w:p>
    <w:p w:rsidR="008E60C5" w:rsidRPr="008E60C5" w:rsidRDefault="008E60C5" w:rsidP="008E60C5">
      <w:pPr>
        <w:pStyle w:val="NormalWeb"/>
        <w:spacing w:before="180" w:beforeAutospacing="0" w:after="180" w:afterAutospacing="0" w:line="330" w:lineRule="atLeast"/>
        <w:jc w:val="both"/>
        <w:rPr>
          <w:rFonts w:ascii="Arial" w:hAnsi="Arial" w:cs="Arial"/>
          <w:color w:val="000000"/>
          <w:sz w:val="22"/>
          <w:szCs w:val="22"/>
        </w:rPr>
      </w:pPr>
      <w:r w:rsidRPr="008E60C5">
        <w:rPr>
          <w:rFonts w:ascii="Arial" w:hAnsi="Arial" w:cs="Arial"/>
          <w:color w:val="000000"/>
          <w:sz w:val="22"/>
          <w:szCs w:val="22"/>
        </w:rPr>
        <w:t>Segundo sondagem realizada com os grandes incentivadores da atual Rouanet, estes estariam favoráveis à alteração e também à contribuição. Estima-se que com tais alterações o FNC possa chegar a 900 milhões de reais, cerca de 50% do valor da renúncia que deverá chegar 1,8 bilhão.</w:t>
      </w:r>
    </w:p>
    <w:p w:rsidR="008E60C5" w:rsidRPr="008E60C5" w:rsidRDefault="008E60C5" w:rsidP="008E60C5">
      <w:pPr>
        <w:pStyle w:val="NormalWeb"/>
        <w:spacing w:before="180" w:beforeAutospacing="0" w:after="180" w:afterAutospacing="0" w:line="330" w:lineRule="atLeast"/>
        <w:jc w:val="both"/>
        <w:rPr>
          <w:rFonts w:ascii="Arial" w:hAnsi="Arial" w:cs="Arial"/>
          <w:color w:val="000000"/>
          <w:sz w:val="22"/>
          <w:szCs w:val="22"/>
        </w:rPr>
      </w:pPr>
      <w:r w:rsidRPr="008E60C5">
        <w:rPr>
          <w:rFonts w:ascii="Arial" w:hAnsi="Arial" w:cs="Arial"/>
          <w:color w:val="000000"/>
          <w:sz w:val="22"/>
          <w:szCs w:val="22"/>
        </w:rPr>
        <w:t xml:space="preserve">Outra alteração com relação à renúncia é o aumento do incentivo para pessoas físicas. Hoje o cidadão brasileiro destina até 6% do IRPF, neste novo modelo poderá destinar até 8%. Além disso, 3% poderão ser doados diretamente na declaração. Isso é importantíssimo, pois somente no momento da declaração é realmente possível saber o valor devido de imposto e utilizar-se deste benefício. Muitas pessoas físicas </w:t>
      </w:r>
      <w:r w:rsidRPr="008E60C5">
        <w:rPr>
          <w:rFonts w:ascii="Arial" w:hAnsi="Arial" w:cs="Arial"/>
          <w:color w:val="000000"/>
          <w:sz w:val="22"/>
          <w:szCs w:val="22"/>
        </w:rPr>
        <w:lastRenderedPageBreak/>
        <w:t>que hoje deixam de destinar recursos deverão ser atraídas pelo sistema, principalmente pelos pequenos proponentes.</w:t>
      </w:r>
    </w:p>
    <w:p w:rsidR="008E60C5" w:rsidRPr="008E60C5" w:rsidRDefault="008E60C5" w:rsidP="008E60C5">
      <w:pPr>
        <w:pStyle w:val="NormalWeb"/>
        <w:spacing w:before="180" w:beforeAutospacing="0" w:after="180" w:afterAutospacing="0" w:line="330" w:lineRule="atLeast"/>
        <w:jc w:val="both"/>
        <w:rPr>
          <w:rFonts w:ascii="Arial" w:hAnsi="Arial" w:cs="Arial"/>
          <w:color w:val="000000"/>
          <w:sz w:val="22"/>
          <w:szCs w:val="22"/>
        </w:rPr>
      </w:pPr>
      <w:r w:rsidRPr="008E60C5">
        <w:rPr>
          <w:rFonts w:ascii="Arial" w:hAnsi="Arial" w:cs="Arial"/>
          <w:color w:val="000000"/>
          <w:sz w:val="22"/>
          <w:szCs w:val="22"/>
        </w:rPr>
        <w:t>Ainda com relação à renúncia a nova lei tentará atrair para o sistema as pequenas empresas, com faturamento de até 300 milhões. Estas estarão automaticamente habilitadas a destinar 8% do IRPJ. Porém, o mais interessante, é que este aumento de 4% deverá ser destinado com exclusividade para os proponentes considerados “independentes”. O termo independente é descrito no projeto de lei levando em consideração diversos fatores, mas principalmente o fato do proponente não acumular funções como produção e distribuição do produto cultural. Associações e cooperativas estão dentro. Além disso, o PL leva em conta se a empresa é pertencente ao Simples Nacional. Ou seja, cruza a missão da empresa com a questão fiscal.</w:t>
      </w:r>
    </w:p>
    <w:p w:rsidR="008E60C5" w:rsidRPr="008E60C5" w:rsidRDefault="008E60C5" w:rsidP="008E60C5">
      <w:pPr>
        <w:pStyle w:val="NormalWeb"/>
        <w:spacing w:before="180" w:beforeAutospacing="0" w:after="180" w:afterAutospacing="0" w:line="330" w:lineRule="atLeast"/>
        <w:jc w:val="both"/>
        <w:rPr>
          <w:rFonts w:ascii="Arial" w:hAnsi="Arial" w:cs="Arial"/>
          <w:color w:val="000000"/>
          <w:sz w:val="22"/>
          <w:szCs w:val="22"/>
        </w:rPr>
      </w:pPr>
      <w:r w:rsidRPr="008E60C5">
        <w:rPr>
          <w:rFonts w:ascii="Arial" w:hAnsi="Arial" w:cs="Arial"/>
          <w:color w:val="000000"/>
          <w:sz w:val="22"/>
          <w:szCs w:val="22"/>
        </w:rPr>
        <w:t>No que diz respeito à descentralização, tanto o Fundo Nacional de Cultura quanto a Renúncia Fiscal tentarão através de um sistema de pontuação incentivar os projetos por territórios estratégicos. Será criada uma certificação de território, de acordo com a importância histórica e a identidade sociocultural da região. Assim o incentivador poderá obter mais renúncia fiscal se apoiar projetos realizados nestas localidades, um tipo de atrativo que visa da</w:t>
      </w:r>
      <w:bookmarkStart w:id="0" w:name="_GoBack"/>
      <w:bookmarkEnd w:id="0"/>
      <w:r w:rsidRPr="008E60C5">
        <w:rPr>
          <w:rFonts w:ascii="Arial" w:hAnsi="Arial" w:cs="Arial"/>
          <w:color w:val="000000"/>
          <w:sz w:val="22"/>
          <w:szCs w:val="22"/>
        </w:rPr>
        <w:t>r mais competitividade em relação aos grandes centros. No caso do FNC a descentralização será na forma de repasses para estados e municípios, ou seja, 80% dos recursos do FNC deverão ser repassados aos Fundos Estaduais e Municipais. Para isso, os entes locais deverão contar com conselho, plano e fundo de cultura. Levará vantagem o município ou região histórica melhor pontuada de acordo com os critérios acima descritos. O Fundo Nacional de Cultura passará também a ser contábil- financeiro e será possível transferir os recursos não utilizados de um ano para o outro com correção da inflação.</w:t>
      </w:r>
    </w:p>
    <w:p w:rsidR="008E60C5" w:rsidRPr="008E60C5" w:rsidRDefault="008E60C5" w:rsidP="008E60C5">
      <w:pPr>
        <w:pStyle w:val="NormalWeb"/>
        <w:spacing w:before="180" w:beforeAutospacing="0" w:after="180" w:afterAutospacing="0" w:line="330" w:lineRule="atLeast"/>
        <w:jc w:val="both"/>
        <w:rPr>
          <w:rFonts w:ascii="Arial" w:hAnsi="Arial" w:cs="Arial"/>
          <w:color w:val="000000"/>
          <w:sz w:val="22"/>
          <w:szCs w:val="22"/>
        </w:rPr>
      </w:pPr>
      <w:r w:rsidRPr="008E60C5">
        <w:rPr>
          <w:rFonts w:ascii="Arial" w:hAnsi="Arial" w:cs="Arial"/>
          <w:color w:val="000000"/>
          <w:sz w:val="22"/>
          <w:szCs w:val="22"/>
        </w:rPr>
        <w:t>Conversei com o deputado, que é economista e ele afirmou que o projeto deverá receber agora as avaliações do ministério da fazenda sobre o impacto econômico. Segundo ele a presidente Dilma está favorável ao projeto, mas neste momento é necessário que a sociedade brasileira tome conhecimento do texto e que apoie a sua aprovação. O deputado comprometeu-se a disponibilizar o texto do PL 6722/10, no site da câmara a partir desta semana.</w:t>
      </w:r>
    </w:p>
    <w:p w:rsidR="008E60C5" w:rsidRPr="008E60C5" w:rsidRDefault="008E60C5" w:rsidP="008E60C5">
      <w:pPr>
        <w:pStyle w:val="NormalWeb"/>
        <w:spacing w:before="180" w:beforeAutospacing="0" w:after="180" w:afterAutospacing="0" w:line="330" w:lineRule="atLeast"/>
        <w:jc w:val="both"/>
        <w:rPr>
          <w:rFonts w:ascii="Arial" w:hAnsi="Arial" w:cs="Arial"/>
          <w:color w:val="000000"/>
          <w:sz w:val="22"/>
          <w:szCs w:val="22"/>
        </w:rPr>
      </w:pPr>
      <w:r w:rsidRPr="008E60C5">
        <w:rPr>
          <w:rFonts w:ascii="Arial" w:hAnsi="Arial" w:cs="Arial"/>
          <w:color w:val="000000"/>
          <w:sz w:val="22"/>
          <w:szCs w:val="22"/>
        </w:rPr>
        <w:t>Resta saber se os produtores culturais daqui irão realmente receber atenção por parte do empresariado, principalmente aquele local que costuma colocar dinheiro em grandes eventos e fora do Paraná. É importante que se diga que a demanda por projetos culturais tende a crescer. Este ano a Lei Municipal de Incentivo de Curitiba recebeu 800 projetos, 30% a mais que no ano anterior. Aumentar os recursos locais é necessário, mas não resolverá o inchaço de projetos, ao contrário, criará demanda por mais verba. Por isso é preciso haver diversificação nos mecanismos e neste sentido é interessante o projeto de lei do Procultura, que parece separar muito bem: arte, cultura de nicho, cultura de massa e show business, cada qual o peso da atenção pública que merece.</w:t>
      </w:r>
    </w:p>
    <w:sectPr w:rsidR="008E60C5" w:rsidRPr="008E60C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50E"/>
    <w:rsid w:val="0080350E"/>
    <w:rsid w:val="008E60C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har"/>
    <w:uiPriority w:val="9"/>
    <w:qFormat/>
    <w:rsid w:val="008E60C5"/>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8E60C5"/>
    <w:rPr>
      <w:rFonts w:ascii="Times New Roman" w:eastAsia="Times New Roman" w:hAnsi="Times New Roman" w:cs="Times New Roman"/>
      <w:b/>
      <w:bCs/>
      <w:sz w:val="27"/>
      <w:szCs w:val="27"/>
      <w:lang w:eastAsia="pt-BR"/>
    </w:rPr>
  </w:style>
  <w:style w:type="character" w:customStyle="1" w:styleId="titblog">
    <w:name w:val="titblog"/>
    <w:basedOn w:val="Fontepargpadro"/>
    <w:rsid w:val="008E60C5"/>
  </w:style>
  <w:style w:type="paragraph" w:styleId="NormalWeb">
    <w:name w:val="Normal (Web)"/>
    <w:basedOn w:val="Normal"/>
    <w:uiPriority w:val="99"/>
    <w:unhideWhenUsed/>
    <w:rsid w:val="008E60C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8E60C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har"/>
    <w:uiPriority w:val="9"/>
    <w:qFormat/>
    <w:rsid w:val="008E60C5"/>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8E60C5"/>
    <w:rPr>
      <w:rFonts w:ascii="Times New Roman" w:eastAsia="Times New Roman" w:hAnsi="Times New Roman" w:cs="Times New Roman"/>
      <w:b/>
      <w:bCs/>
      <w:sz w:val="27"/>
      <w:szCs w:val="27"/>
      <w:lang w:eastAsia="pt-BR"/>
    </w:rPr>
  </w:style>
  <w:style w:type="character" w:customStyle="1" w:styleId="titblog">
    <w:name w:val="titblog"/>
    <w:basedOn w:val="Fontepargpadro"/>
    <w:rsid w:val="008E60C5"/>
  </w:style>
  <w:style w:type="paragraph" w:styleId="NormalWeb">
    <w:name w:val="Normal (Web)"/>
    <w:basedOn w:val="Normal"/>
    <w:uiPriority w:val="99"/>
    <w:unhideWhenUsed/>
    <w:rsid w:val="008E60C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8E60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066992">
      <w:bodyDiv w:val="1"/>
      <w:marLeft w:val="0"/>
      <w:marRight w:val="0"/>
      <w:marTop w:val="0"/>
      <w:marBottom w:val="0"/>
      <w:divBdr>
        <w:top w:val="none" w:sz="0" w:space="0" w:color="auto"/>
        <w:left w:val="none" w:sz="0" w:space="0" w:color="auto"/>
        <w:bottom w:val="none" w:sz="0" w:space="0" w:color="auto"/>
        <w:right w:val="none" w:sz="0" w:space="0" w:color="auto"/>
      </w:divBdr>
    </w:div>
    <w:div w:id="820774593">
      <w:bodyDiv w:val="1"/>
      <w:marLeft w:val="0"/>
      <w:marRight w:val="0"/>
      <w:marTop w:val="0"/>
      <w:marBottom w:val="0"/>
      <w:divBdr>
        <w:top w:val="none" w:sz="0" w:space="0" w:color="auto"/>
        <w:left w:val="none" w:sz="0" w:space="0" w:color="auto"/>
        <w:bottom w:val="none" w:sz="0" w:space="0" w:color="auto"/>
        <w:right w:val="none" w:sz="0" w:space="0" w:color="auto"/>
      </w:divBdr>
    </w:div>
    <w:div w:id="1114322137">
      <w:bodyDiv w:val="1"/>
      <w:marLeft w:val="0"/>
      <w:marRight w:val="0"/>
      <w:marTop w:val="0"/>
      <w:marBottom w:val="0"/>
      <w:divBdr>
        <w:top w:val="none" w:sz="0" w:space="0" w:color="auto"/>
        <w:left w:val="none" w:sz="0" w:space="0" w:color="auto"/>
        <w:bottom w:val="none" w:sz="0" w:space="0" w:color="auto"/>
        <w:right w:val="none" w:sz="0" w:space="0" w:color="auto"/>
      </w:divBdr>
    </w:div>
    <w:div w:id="1268855041">
      <w:bodyDiv w:val="1"/>
      <w:marLeft w:val="0"/>
      <w:marRight w:val="0"/>
      <w:marTop w:val="0"/>
      <w:marBottom w:val="0"/>
      <w:divBdr>
        <w:top w:val="none" w:sz="0" w:space="0" w:color="auto"/>
        <w:left w:val="none" w:sz="0" w:space="0" w:color="auto"/>
        <w:bottom w:val="none" w:sz="0" w:space="0" w:color="auto"/>
        <w:right w:val="none" w:sz="0" w:space="0" w:color="auto"/>
      </w:divBdr>
    </w:div>
    <w:div w:id="2006542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gazetadopovo.com.br/blogs/quanto-vale-o-show/mudancas-proximas-na-lei-roaunet/"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1397</Words>
  <Characters>7546</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Nara da Cunha Pessoa</dc:creator>
  <cp:keywords/>
  <dc:description/>
  <cp:lastModifiedBy>Nara da Cunha Pessoa</cp:lastModifiedBy>
  <cp:revision>2</cp:revision>
  <dcterms:created xsi:type="dcterms:W3CDTF">2013-08-19T18:32:00Z</dcterms:created>
  <dcterms:modified xsi:type="dcterms:W3CDTF">2013-08-19T18:32:00Z</dcterms:modified>
</cp:coreProperties>
</file>