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74" w:rsidRDefault="00D51474" w:rsidP="00D51474">
      <w:pPr>
        <w:pStyle w:val="NormalWeb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D51474">
        <w:rPr>
          <w:rFonts w:ascii="Arial" w:hAnsi="Arial" w:cs="Arial"/>
          <w:sz w:val="22"/>
          <w:szCs w:val="22"/>
        </w:rPr>
        <w:t>Desesconder</w:t>
      </w:r>
      <w:proofErr w:type="spellEnd"/>
      <w:r w:rsidRPr="00D51474">
        <w:rPr>
          <w:rFonts w:ascii="Arial" w:hAnsi="Arial" w:cs="Arial"/>
          <w:sz w:val="22"/>
          <w:szCs w:val="22"/>
        </w:rPr>
        <w:t xml:space="preserve"> o Ministério da Cultura</w:t>
      </w:r>
    </w:p>
    <w:p w:rsidR="00D51474" w:rsidRDefault="00D51474" w:rsidP="00D51474">
      <w:pPr>
        <w:pStyle w:val="NormalWeb"/>
        <w:jc w:val="right"/>
        <w:rPr>
          <w:rStyle w:val="Strong"/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 xml:space="preserve">Por </w:t>
      </w:r>
      <w:r w:rsidRPr="00D51474">
        <w:rPr>
          <w:rStyle w:val="Strong"/>
          <w:rFonts w:ascii="Arial" w:hAnsi="Arial" w:cs="Arial"/>
          <w:sz w:val="22"/>
          <w:szCs w:val="22"/>
        </w:rPr>
        <w:t xml:space="preserve">Marcus </w:t>
      </w:r>
      <w:proofErr w:type="spellStart"/>
      <w:r w:rsidRPr="00D51474">
        <w:rPr>
          <w:rStyle w:val="Strong"/>
          <w:rFonts w:ascii="Arial" w:hAnsi="Arial" w:cs="Arial"/>
          <w:sz w:val="22"/>
          <w:szCs w:val="22"/>
        </w:rPr>
        <w:t>Faustini</w:t>
      </w:r>
      <w:proofErr w:type="spellEnd"/>
      <w:r w:rsidRPr="00D51474">
        <w:rPr>
          <w:rStyle w:val="Strong"/>
          <w:rFonts w:ascii="Arial" w:hAnsi="Arial" w:cs="Arial"/>
          <w:sz w:val="22"/>
          <w:szCs w:val="22"/>
        </w:rPr>
        <w:t>* </w:t>
      </w:r>
    </w:p>
    <w:p w:rsidR="00D51474" w:rsidRPr="00D51474" w:rsidRDefault="00D51474" w:rsidP="00D5147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 xml:space="preserve">“Fazer políticas culturais é fazer cultura”, afirmou o então Ministro da Cultura (MinC), Gilberto Gil, por volta de 2004/5. Mais do que bom </w:t>
      </w:r>
      <w:proofErr w:type="spellStart"/>
      <w:r w:rsidRPr="00D51474">
        <w:rPr>
          <w:rFonts w:ascii="Arial" w:hAnsi="Arial" w:cs="Arial"/>
          <w:sz w:val="22"/>
          <w:szCs w:val="22"/>
        </w:rPr>
        <w:t>frasismo</w:t>
      </w:r>
      <w:proofErr w:type="spellEnd"/>
      <w:r w:rsidRPr="00D51474">
        <w:rPr>
          <w:rFonts w:ascii="Arial" w:hAnsi="Arial" w:cs="Arial"/>
          <w:sz w:val="22"/>
          <w:szCs w:val="22"/>
        </w:rPr>
        <w:t>, capaz de promover síntese, esse ponto de vista nos coloca diante de um amálgama, de constante reconfiguração na fundição desse metal chamado cultura, que inventa um lugar preciso — ainda não superado — para o MinC no jogo político e simbólico. Coloca a tarefa objetiva de uma instância governamental para além de dirigismo ou da procrastinação. Nada de um saudosismo por aqui, nem resgate ingênuo que não observa contradições. O fato é que perdemos essa postura, posicionamento e performance do ministério nos últimos anos. Serei direto, então, no recado desta semana.</w:t>
      </w:r>
    </w:p>
    <w:p w:rsidR="00D51474" w:rsidRPr="00D51474" w:rsidRDefault="00D51474" w:rsidP="00D5147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>Hoje, do jeito que está, se desfaz a perigosa fronteira que coloca o MinC no clássico lugar da fácil fala de “guardião de uma identidade nacional popular”, apenas para cumprir encenações de protocolo sem de fato fomentar a potência da diversidade dessas identidades em movimento, sucumbindo a sua atuação a programas fragmentados e ensimesmados. Uma falta de coragem em assumir o debate e as ações de um projeto de atualização do sentido da cultura que acaba contribuindo para a autoperpetuação das conhecidas formas e relações cambiantes em nosso país, que mantém a deliberada distinção, através de hierarquia, entre produção material da cultura versus produção imaterial. Sabemos muito bem que esse lugar difuso ao qual retornamos não diminui desigualdades regionais e não garante diversidade de imaginário e do protagonismo na produção e acesso. O MinC precisa voltar a ser um animador dos direitos culturais e de uma ecologia de formas de produção e acesso para o desenvolvimento. Não pode apenas estar resignado num lugar de regulador ordinário de práticas econômicas da cultura que possam se viabilizar como mercado, tratando o vasto campo em ebulição apenas com ações reparadoras, que restringem a ideia de diversidade como uma “exceção cultural” — pensamento já superado até pelos grandes organismos internacionais dos direitos culturais.</w:t>
      </w:r>
    </w:p>
    <w:p w:rsidR="00D51474" w:rsidRPr="00D51474" w:rsidRDefault="00D51474" w:rsidP="00D5147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>Já tive a oportunidade de apontar aqui na coluna e em outros artigos que parte considerável da falta de conexão com os movimentos de junho, sobretudo com as novas formas de expressão e organização da juventude que estava lá, vem desse controle e esvaziamento das políticas culturais do Ministério da Cultura que estabeleciam possíveis diálogos e ambientes de ação comum com grupos e ações culturais urbanas e rurais. Era a liga dessa nova geração com a institucionalidade. Uma brecha de contato, através das políticas capitaneadas por Gil e Juca Ferreira com suas inovadoras visões de cultura digital e dos pontos de cultura — uma ampla política pública que, além de disparar reconhecimentos represados historicamente, foi impulsionadora de formas de produção diversas e necessárias para a economia da cultura. É claro que os desafios institucionais e políticos foram grandes, como todo novo sistema de direitos e processos de produção carregam. O espanto é que esse momento de frescor que vivemos ali, reconhecido internacionalmente como eficaz contribuição para a radicalização da democracia, recebeu um forte freio de controle nos últimos quatro anos. Foram os ativistas culturais que mantiveram a causa e batalharam por ela no Congresso Nacional com ótimas estratégias de busca de aliados.</w:t>
      </w:r>
    </w:p>
    <w:p w:rsidR="00D51474" w:rsidRPr="00D51474" w:rsidRDefault="00D51474" w:rsidP="00D5147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>Um outro efeito, quase ainda não estudado, foi a forte influência positiva que aquele momento, aquele MinC, exerceu sobre municípios, gerando novas secretarias de cultura, departamentos e políticas para além das capitais.</w:t>
      </w:r>
    </w:p>
    <w:p w:rsidR="00D51474" w:rsidRPr="00D51474" w:rsidRDefault="00D51474" w:rsidP="00D5147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lastRenderedPageBreak/>
        <w:t>O aprendizado que fica, mesmo nesse breve foco no assunto, é que uma instância de governo precisa ser um ator que inspira o debate, que age sobre as condições de produção. Se temos um ministério pouco catalisador, como guiar o desenvolvimento?</w:t>
      </w:r>
    </w:p>
    <w:p w:rsidR="00D51474" w:rsidRPr="00D51474" w:rsidRDefault="00D51474" w:rsidP="00D5147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 xml:space="preserve">Falo isso tudo na condição de eleitor da Dilma, mesmo sem a alegria do voto, mas isso é assunto para o meu perfil nas redes sociais. Por ora, pego emprestado, com gosto dos </w:t>
      </w:r>
      <w:proofErr w:type="spellStart"/>
      <w:r w:rsidRPr="00D51474">
        <w:rPr>
          <w:rFonts w:ascii="Arial" w:hAnsi="Arial" w:cs="Arial"/>
          <w:sz w:val="22"/>
          <w:szCs w:val="22"/>
        </w:rPr>
        <w:t>Manuéis</w:t>
      </w:r>
      <w:proofErr w:type="spellEnd"/>
      <w:r w:rsidRPr="00D51474">
        <w:rPr>
          <w:rFonts w:ascii="Arial" w:hAnsi="Arial" w:cs="Arial"/>
          <w:sz w:val="22"/>
          <w:szCs w:val="22"/>
        </w:rPr>
        <w:t xml:space="preserve"> “Bandeira” e “de Barros”, o neologismo do então presidente Lula, que disse na mesma época que era preciso “</w:t>
      </w:r>
      <w:proofErr w:type="spellStart"/>
      <w:r w:rsidRPr="00D51474">
        <w:rPr>
          <w:rFonts w:ascii="Arial" w:hAnsi="Arial" w:cs="Arial"/>
          <w:sz w:val="22"/>
          <w:szCs w:val="22"/>
        </w:rPr>
        <w:t>desesconder</w:t>
      </w:r>
      <w:proofErr w:type="spellEnd"/>
      <w:r w:rsidRPr="00D51474">
        <w:rPr>
          <w:rFonts w:ascii="Arial" w:hAnsi="Arial" w:cs="Arial"/>
          <w:sz w:val="22"/>
          <w:szCs w:val="22"/>
        </w:rPr>
        <w:t xml:space="preserve"> a cultura”. Agora também é necessário </w:t>
      </w:r>
      <w:proofErr w:type="spellStart"/>
      <w:r w:rsidRPr="00D51474">
        <w:rPr>
          <w:rFonts w:ascii="Arial" w:hAnsi="Arial" w:cs="Arial"/>
          <w:sz w:val="22"/>
          <w:szCs w:val="22"/>
        </w:rPr>
        <w:t>desesconder</w:t>
      </w:r>
      <w:proofErr w:type="spellEnd"/>
      <w:r w:rsidRPr="00D51474">
        <w:rPr>
          <w:rFonts w:ascii="Arial" w:hAnsi="Arial" w:cs="Arial"/>
          <w:sz w:val="22"/>
          <w:szCs w:val="22"/>
        </w:rPr>
        <w:t xml:space="preserve"> o ministério.</w:t>
      </w:r>
    </w:p>
    <w:p w:rsidR="00D51474" w:rsidRPr="00D51474" w:rsidRDefault="00D51474" w:rsidP="00D51474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D51474" w:rsidRPr="00D51474" w:rsidRDefault="00D51474" w:rsidP="00D51474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51474">
        <w:rPr>
          <w:rFonts w:ascii="Arial" w:hAnsi="Arial" w:cs="Arial"/>
          <w:sz w:val="22"/>
          <w:szCs w:val="22"/>
        </w:rPr>
        <w:t>*Publicado originalmente em O Globo, este texto é republicado em Outras Palavras com anuência do autor.</w:t>
      </w:r>
    </w:p>
    <w:p w:rsidR="00D51474" w:rsidRPr="00D51474" w:rsidRDefault="00D51474" w:rsidP="00D51474">
      <w:pPr>
        <w:pStyle w:val="Heading4"/>
        <w:jc w:val="both"/>
        <w:rPr>
          <w:rFonts w:ascii="Arial" w:hAnsi="Arial" w:cs="Arial"/>
          <w:i w:val="0"/>
          <w:color w:val="auto"/>
        </w:rPr>
      </w:pPr>
      <w:r w:rsidRPr="00D51474">
        <w:rPr>
          <w:rFonts w:ascii="Arial" w:hAnsi="Arial" w:cs="Arial"/>
          <w:i w:val="0"/>
          <w:color w:val="auto"/>
        </w:rPr>
        <w:t xml:space="preserve">Marcus </w:t>
      </w:r>
      <w:proofErr w:type="spellStart"/>
      <w:r w:rsidRPr="00D51474">
        <w:rPr>
          <w:rFonts w:ascii="Arial" w:hAnsi="Arial" w:cs="Arial"/>
          <w:i w:val="0"/>
          <w:color w:val="auto"/>
        </w:rPr>
        <w:t>Faustini</w:t>
      </w:r>
      <w:proofErr w:type="spellEnd"/>
    </w:p>
    <w:p w:rsidR="00D51474" w:rsidRDefault="00D51474" w:rsidP="00D51474">
      <w:pPr>
        <w:jc w:val="both"/>
        <w:rPr>
          <w:rFonts w:ascii="Arial" w:hAnsi="Arial" w:cs="Arial"/>
        </w:rPr>
      </w:pPr>
      <w:r w:rsidRPr="00D51474">
        <w:rPr>
          <w:rFonts w:ascii="Arial" w:hAnsi="Arial" w:cs="Arial"/>
        </w:rPr>
        <w:t xml:space="preserve">Escritor, diretor teatral, cineasta. Coordena a Agência de Redes para Juventude e o Festival Home </w:t>
      </w:r>
      <w:proofErr w:type="spellStart"/>
      <w:r w:rsidRPr="00D51474">
        <w:rPr>
          <w:rFonts w:ascii="Arial" w:hAnsi="Arial" w:cs="Arial"/>
        </w:rPr>
        <w:t>Theatre</w:t>
      </w:r>
      <w:proofErr w:type="spellEnd"/>
      <w:r w:rsidRPr="00D51474">
        <w:rPr>
          <w:rFonts w:ascii="Arial" w:hAnsi="Arial" w:cs="Arial"/>
        </w:rPr>
        <w:t xml:space="preserve">. Escreve sobre cultura (O Globo), apresenta o programa 0800-cultura urbana livre na Beat </w:t>
      </w:r>
      <w:proofErr w:type="spellStart"/>
      <w:r w:rsidRPr="00D51474">
        <w:rPr>
          <w:rFonts w:ascii="Arial" w:hAnsi="Arial" w:cs="Arial"/>
        </w:rPr>
        <w:t>Fm</w:t>
      </w:r>
      <w:proofErr w:type="spellEnd"/>
      <w:r w:rsidRPr="00D51474">
        <w:rPr>
          <w:rFonts w:ascii="Arial" w:hAnsi="Arial" w:cs="Arial"/>
        </w:rPr>
        <w:t xml:space="preserve"> 9.</w:t>
      </w:r>
    </w:p>
    <w:p w:rsidR="00D51474" w:rsidRPr="00D51474" w:rsidRDefault="00D51474" w:rsidP="00D51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Disponível em: </w:t>
      </w:r>
      <w:hyperlink r:id="rId5" w:history="1">
        <w:r w:rsidRPr="005466ED">
          <w:rPr>
            <w:rStyle w:val="Hyperlink"/>
            <w:rFonts w:ascii="Arial" w:hAnsi="Arial" w:cs="Arial"/>
          </w:rPr>
          <w:t>http://outraspalavras.net/destaques/desesconder-o-ministerio-da-cultura/</w:t>
        </w:r>
      </w:hyperlink>
      <w:r>
        <w:rPr>
          <w:rFonts w:ascii="Arial" w:hAnsi="Arial" w:cs="Arial"/>
        </w:rPr>
        <w:t xml:space="preserve"> Acesso em: 05/08/2014.</w:t>
      </w:r>
    </w:p>
    <w:p w:rsidR="00D51474" w:rsidRDefault="00D51474" w:rsidP="00D51474">
      <w:pPr>
        <w:pStyle w:val="NormalWeb"/>
      </w:pPr>
    </w:p>
    <w:sectPr w:rsidR="00D51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09"/>
    <w:rsid w:val="005A555A"/>
    <w:rsid w:val="00624309"/>
    <w:rsid w:val="0074622E"/>
    <w:rsid w:val="00D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514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14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unhideWhenUsed/>
    <w:rsid w:val="00D514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514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14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unhideWhenUsed/>
    <w:rsid w:val="00D514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utraspalavras.net/destaques/desesconder-o-ministerio-da-cultur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4059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da Cunha Pessoa</dc:creator>
  <cp:keywords/>
  <dc:description/>
  <cp:lastModifiedBy>Nara Pessoa</cp:lastModifiedBy>
  <cp:revision>2</cp:revision>
  <dcterms:created xsi:type="dcterms:W3CDTF">2014-08-08T16:57:00Z</dcterms:created>
  <dcterms:modified xsi:type="dcterms:W3CDTF">2014-08-08T16:57:00Z</dcterms:modified>
</cp:coreProperties>
</file>