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74" w:rsidRDefault="00D51474" w:rsidP="00D51474">
      <w:pPr>
        <w:pStyle w:val="NormalWeb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 w:rsidRPr="00D51474">
        <w:rPr>
          <w:rFonts w:ascii="Arial" w:hAnsi="Arial" w:cs="Arial"/>
          <w:sz w:val="22"/>
          <w:szCs w:val="22"/>
        </w:rPr>
        <w:t>Desesconder</w:t>
      </w:r>
      <w:proofErr w:type="spellEnd"/>
      <w:r w:rsidRPr="00D51474">
        <w:rPr>
          <w:rFonts w:ascii="Arial" w:hAnsi="Arial" w:cs="Arial"/>
          <w:sz w:val="22"/>
          <w:szCs w:val="22"/>
        </w:rPr>
        <w:t xml:space="preserve"> o Ministério da Cultura</w:t>
      </w:r>
    </w:p>
    <w:p w:rsidR="00D51474" w:rsidRDefault="00D51474" w:rsidP="00D51474">
      <w:pPr>
        <w:pStyle w:val="NormalWeb"/>
        <w:jc w:val="right"/>
        <w:rPr>
          <w:rStyle w:val="Strong"/>
          <w:rFonts w:ascii="Arial" w:hAnsi="Arial" w:cs="Arial"/>
          <w:sz w:val="22"/>
          <w:szCs w:val="22"/>
        </w:rPr>
      </w:pPr>
      <w:r w:rsidRPr="00D51474">
        <w:rPr>
          <w:rFonts w:ascii="Arial" w:hAnsi="Arial" w:cs="Arial"/>
          <w:sz w:val="22"/>
          <w:szCs w:val="22"/>
        </w:rPr>
        <w:t xml:space="preserve">Por </w:t>
      </w:r>
      <w:r w:rsidRPr="00D51474">
        <w:rPr>
          <w:rStyle w:val="Strong"/>
          <w:rFonts w:ascii="Arial" w:hAnsi="Arial" w:cs="Arial"/>
          <w:sz w:val="22"/>
          <w:szCs w:val="22"/>
        </w:rPr>
        <w:t xml:space="preserve">Marcus </w:t>
      </w:r>
      <w:proofErr w:type="spellStart"/>
      <w:r w:rsidRPr="00D51474">
        <w:rPr>
          <w:rStyle w:val="Strong"/>
          <w:rFonts w:ascii="Arial" w:hAnsi="Arial" w:cs="Arial"/>
          <w:sz w:val="22"/>
          <w:szCs w:val="22"/>
        </w:rPr>
        <w:t>Faustini</w:t>
      </w:r>
      <w:proofErr w:type="spellEnd"/>
      <w:r w:rsidRPr="00D51474">
        <w:rPr>
          <w:rStyle w:val="Strong"/>
          <w:rFonts w:ascii="Arial" w:hAnsi="Arial" w:cs="Arial"/>
          <w:sz w:val="22"/>
          <w:szCs w:val="22"/>
        </w:rPr>
        <w:t>* </w:t>
      </w:r>
    </w:p>
    <w:p w:rsidR="00D51474" w:rsidRPr="00D51474" w:rsidRDefault="00D51474" w:rsidP="00D51474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D51474">
        <w:rPr>
          <w:rFonts w:ascii="Arial" w:hAnsi="Arial" w:cs="Arial"/>
          <w:sz w:val="22"/>
          <w:szCs w:val="22"/>
        </w:rPr>
        <w:t xml:space="preserve">“Fazer políticas culturais é fazer cultura”, afirmou o então Ministro da Cultura (MinC), Gilberto Gil, por volta de 2004/5. Mais do que bom </w:t>
      </w:r>
      <w:proofErr w:type="spellStart"/>
      <w:r w:rsidRPr="00D51474">
        <w:rPr>
          <w:rFonts w:ascii="Arial" w:hAnsi="Arial" w:cs="Arial"/>
          <w:sz w:val="22"/>
          <w:szCs w:val="22"/>
        </w:rPr>
        <w:t>frasismo</w:t>
      </w:r>
      <w:proofErr w:type="spellEnd"/>
      <w:r w:rsidRPr="00D51474">
        <w:rPr>
          <w:rFonts w:ascii="Arial" w:hAnsi="Arial" w:cs="Arial"/>
          <w:sz w:val="22"/>
          <w:szCs w:val="22"/>
        </w:rPr>
        <w:t>, capaz de promover síntese, esse ponto de vista nos coloca diante de um amálgama, de constante reconfiguração na fundição desse metal chamado cultura, que inventa um lugar preciso — ainda não superado — para o MinC no jogo político e simbólico. Coloca a tarefa objetiva de uma instância governamental para além de dirigismo ou da procrastinação. Nada de um saudosismo por aqui, nem resgate ingênuo que não observa contradições. O fato é que perdemos essa postura, posicionamento e performance do ministério nos últimos anos. Serei direto, então, no recado desta semana.</w:t>
      </w:r>
    </w:p>
    <w:p w:rsidR="00D51474" w:rsidRPr="00D51474" w:rsidRDefault="00D51474" w:rsidP="00D51474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D51474">
        <w:rPr>
          <w:rFonts w:ascii="Arial" w:hAnsi="Arial" w:cs="Arial"/>
          <w:sz w:val="22"/>
          <w:szCs w:val="22"/>
        </w:rPr>
        <w:t>Hoje, do jeito que está, se desfaz a perigosa fronteira que coloca o MinC no clássico lugar da fácil fala de “guardião de uma identidade nacional popular”, apenas para cumprir encenações de protocolo sem de fato fomentar a potência da diversidade dessas identidades em movimento, sucumbindo a sua atuação a programas fragmentados e ensimesmados. Uma falta de coragem em assumir o debate e as ações de um projeto de atualização do sentido da cultura que acaba contribuindo para a autoperpetuação das conhecidas formas e relações cambiantes em nosso país, que mantém a deliberada distinção, através de hierarquia, entre produção material da cultura versus produção imaterial. Sabemos muito bem que esse lugar difuso ao qual retornamos não diminui desigualdades regionais e não garante diversidade de imaginário e do protagonismo na produção e acesso. O MinC precisa voltar a ser um animador dos direitos culturais e de uma ecologia de formas de produção e acesso para o desenvolvimento. Não pode apenas estar resignado num lugar de regulador ordinário de práticas econômicas da cultura que possam se viabilizar como mercado, tratando o vasto campo em ebulição apenas com ações reparadoras, que restringem a ideia de diversidade como uma “exceção cultural” — pensamento já superado até pelos grandes organismos internacionais dos direitos culturais.</w:t>
      </w:r>
    </w:p>
    <w:p w:rsidR="00D51474" w:rsidRPr="00D51474" w:rsidRDefault="00D51474" w:rsidP="00D51474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D51474">
        <w:rPr>
          <w:rFonts w:ascii="Arial" w:hAnsi="Arial" w:cs="Arial"/>
          <w:sz w:val="22"/>
          <w:szCs w:val="22"/>
        </w:rPr>
        <w:t>Já tive a oportunidade de apontar aqui na coluna e em outros artigos que parte considerável da falta de conexão com os movimentos de junho, sobretudo com as novas formas de expressão e organização da juventude que estava lá, vem desse controle e esvaziamento das políticas culturais do Ministério da Cultura que estabeleciam possíveis diálogos e ambientes de ação comum com grupos e ações culturais urbanas e rurais. Era a liga dessa nova geração com a institucionalidade. Uma brecha de contato, através das políticas capitaneadas por Gil e Juca Ferreira com suas inovadoras visões de cultura digital e dos pontos de cultura — uma ampla política pública que, além de disparar reconhecimentos represados historicamente, foi impulsionadora de formas de produção diversas e necessárias para a economia da cultura. É claro que os desafios institucionais e políticos foram grandes, como todo novo sistema de direitos e processos de produção carregam. O espanto é que esse momento de frescor que vivemos ali, reconhecido internacionalmente como eficaz contribuição para a radicalização da democracia, recebeu um forte freio de controle nos últimos quatro anos. Foram os ativistas culturais que mantiveram a causa e batalharam por ela no Congresso Nacional com ótimas estratégias de busca de aliados.</w:t>
      </w:r>
    </w:p>
    <w:p w:rsidR="00D51474" w:rsidRPr="00D51474" w:rsidRDefault="00D51474" w:rsidP="00D51474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D51474">
        <w:rPr>
          <w:rFonts w:ascii="Arial" w:hAnsi="Arial" w:cs="Arial"/>
          <w:sz w:val="22"/>
          <w:szCs w:val="22"/>
        </w:rPr>
        <w:t>Um outro efeito, quase ainda não estudado, foi a forte influência positiva que aquele momento, aquele MinC, exerceu sobre municípios, gerando novas secretarias de cultura, departamentos e políticas para além das capitais.</w:t>
      </w:r>
    </w:p>
    <w:p w:rsidR="00D51474" w:rsidRPr="00D51474" w:rsidRDefault="00D51474" w:rsidP="00D51474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D51474">
        <w:rPr>
          <w:rFonts w:ascii="Arial" w:hAnsi="Arial" w:cs="Arial"/>
          <w:sz w:val="22"/>
          <w:szCs w:val="22"/>
        </w:rPr>
        <w:lastRenderedPageBreak/>
        <w:t>O aprendizado que fica, mesmo nesse breve foco no assunto, é que uma instância de governo precisa ser um ator que inspira o debate, que age sobre as condições de produção. Se temos um ministério pouco catalisador, como guiar o desenvolvimento?</w:t>
      </w:r>
    </w:p>
    <w:p w:rsidR="00D51474" w:rsidRPr="00D51474" w:rsidRDefault="00D51474" w:rsidP="00D51474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D51474">
        <w:rPr>
          <w:rFonts w:ascii="Arial" w:hAnsi="Arial" w:cs="Arial"/>
          <w:sz w:val="22"/>
          <w:szCs w:val="22"/>
        </w:rPr>
        <w:t xml:space="preserve">Falo isso tudo na condição de eleitor da Dilma, mesmo sem a alegria do voto, mas isso é assunto para o meu perfil nas redes sociais. Por ora, pego emprestado, com gosto dos </w:t>
      </w:r>
      <w:proofErr w:type="spellStart"/>
      <w:r w:rsidRPr="00D51474">
        <w:rPr>
          <w:rFonts w:ascii="Arial" w:hAnsi="Arial" w:cs="Arial"/>
          <w:sz w:val="22"/>
          <w:szCs w:val="22"/>
        </w:rPr>
        <w:t>Manuéis</w:t>
      </w:r>
      <w:proofErr w:type="spellEnd"/>
      <w:r w:rsidRPr="00D51474">
        <w:rPr>
          <w:rFonts w:ascii="Arial" w:hAnsi="Arial" w:cs="Arial"/>
          <w:sz w:val="22"/>
          <w:szCs w:val="22"/>
        </w:rPr>
        <w:t xml:space="preserve"> “Bandeira” e “de Barros”, o neologismo do então presidente Lula, que disse na mesma época que era preciso “</w:t>
      </w:r>
      <w:proofErr w:type="spellStart"/>
      <w:r w:rsidRPr="00D51474">
        <w:rPr>
          <w:rFonts w:ascii="Arial" w:hAnsi="Arial" w:cs="Arial"/>
          <w:sz w:val="22"/>
          <w:szCs w:val="22"/>
        </w:rPr>
        <w:t>desesconder</w:t>
      </w:r>
      <w:proofErr w:type="spellEnd"/>
      <w:r w:rsidRPr="00D51474">
        <w:rPr>
          <w:rFonts w:ascii="Arial" w:hAnsi="Arial" w:cs="Arial"/>
          <w:sz w:val="22"/>
          <w:szCs w:val="22"/>
        </w:rPr>
        <w:t xml:space="preserve"> a cultura”. Agora também é necessário </w:t>
      </w:r>
      <w:proofErr w:type="spellStart"/>
      <w:r w:rsidRPr="00D51474">
        <w:rPr>
          <w:rFonts w:ascii="Arial" w:hAnsi="Arial" w:cs="Arial"/>
          <w:sz w:val="22"/>
          <w:szCs w:val="22"/>
        </w:rPr>
        <w:t>desesconder</w:t>
      </w:r>
      <w:proofErr w:type="spellEnd"/>
      <w:r w:rsidRPr="00D51474">
        <w:rPr>
          <w:rFonts w:ascii="Arial" w:hAnsi="Arial" w:cs="Arial"/>
          <w:sz w:val="22"/>
          <w:szCs w:val="22"/>
        </w:rPr>
        <w:t xml:space="preserve"> o ministério.</w:t>
      </w:r>
    </w:p>
    <w:p w:rsidR="00D51474" w:rsidRPr="00D51474" w:rsidRDefault="00D51474" w:rsidP="00D51474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D51474" w:rsidRPr="00D51474" w:rsidRDefault="00D51474" w:rsidP="00D5147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51474">
        <w:rPr>
          <w:rFonts w:ascii="Arial" w:hAnsi="Arial" w:cs="Arial"/>
          <w:sz w:val="22"/>
          <w:szCs w:val="22"/>
        </w:rPr>
        <w:t>*Publicado originalmente em O Globo, este texto é republicado em Outras Palavras com anuência do autor.</w:t>
      </w:r>
    </w:p>
    <w:p w:rsidR="00D51474" w:rsidRPr="00D51474" w:rsidRDefault="00D51474" w:rsidP="00D51474">
      <w:pPr>
        <w:pStyle w:val="Heading4"/>
        <w:jc w:val="both"/>
        <w:rPr>
          <w:rFonts w:ascii="Arial" w:hAnsi="Arial" w:cs="Arial"/>
          <w:i w:val="0"/>
          <w:color w:val="auto"/>
        </w:rPr>
      </w:pPr>
      <w:r w:rsidRPr="00D51474">
        <w:rPr>
          <w:rFonts w:ascii="Arial" w:hAnsi="Arial" w:cs="Arial"/>
          <w:i w:val="0"/>
          <w:color w:val="auto"/>
        </w:rPr>
        <w:t xml:space="preserve">Marcus </w:t>
      </w:r>
      <w:proofErr w:type="spellStart"/>
      <w:r w:rsidRPr="00D51474">
        <w:rPr>
          <w:rFonts w:ascii="Arial" w:hAnsi="Arial" w:cs="Arial"/>
          <w:i w:val="0"/>
          <w:color w:val="auto"/>
        </w:rPr>
        <w:t>Faustini</w:t>
      </w:r>
      <w:proofErr w:type="spellEnd"/>
    </w:p>
    <w:p w:rsidR="00D51474" w:rsidRDefault="00D51474" w:rsidP="00D51474">
      <w:pPr>
        <w:jc w:val="both"/>
        <w:rPr>
          <w:rFonts w:ascii="Arial" w:hAnsi="Arial" w:cs="Arial"/>
        </w:rPr>
      </w:pPr>
      <w:r w:rsidRPr="00D51474">
        <w:rPr>
          <w:rFonts w:ascii="Arial" w:hAnsi="Arial" w:cs="Arial"/>
        </w:rPr>
        <w:t xml:space="preserve">Escritor, diretor teatral, cineasta. Coordena a Agência de Redes para Juventude e o Festival Home </w:t>
      </w:r>
      <w:proofErr w:type="spellStart"/>
      <w:r w:rsidRPr="00D51474">
        <w:rPr>
          <w:rFonts w:ascii="Arial" w:hAnsi="Arial" w:cs="Arial"/>
        </w:rPr>
        <w:t>Theatre</w:t>
      </w:r>
      <w:proofErr w:type="spellEnd"/>
      <w:r w:rsidRPr="00D51474">
        <w:rPr>
          <w:rFonts w:ascii="Arial" w:hAnsi="Arial" w:cs="Arial"/>
        </w:rPr>
        <w:t xml:space="preserve">. Escreve sobre cultura (O Globo), apresenta o programa 0800-cultura urbana livre na Beat </w:t>
      </w:r>
      <w:proofErr w:type="spellStart"/>
      <w:r w:rsidRPr="00D51474">
        <w:rPr>
          <w:rFonts w:ascii="Arial" w:hAnsi="Arial" w:cs="Arial"/>
        </w:rPr>
        <w:t>Fm</w:t>
      </w:r>
      <w:proofErr w:type="spellEnd"/>
      <w:r w:rsidRPr="00D51474">
        <w:rPr>
          <w:rFonts w:ascii="Arial" w:hAnsi="Arial" w:cs="Arial"/>
        </w:rPr>
        <w:t xml:space="preserve"> 9.</w:t>
      </w:r>
    </w:p>
    <w:p w:rsidR="00D51474" w:rsidRPr="00D51474" w:rsidRDefault="00D51474" w:rsidP="00D514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Disponível em: </w:t>
      </w:r>
      <w:hyperlink r:id="rId5" w:history="1">
        <w:r w:rsidRPr="005466ED">
          <w:rPr>
            <w:rStyle w:val="Hyperlink"/>
            <w:rFonts w:ascii="Arial" w:hAnsi="Arial" w:cs="Arial"/>
          </w:rPr>
          <w:t>http://outraspalavras.net/destaques/desesconder-o-ministerio-da-cultura/</w:t>
        </w:r>
      </w:hyperlink>
      <w:r>
        <w:rPr>
          <w:rFonts w:ascii="Arial" w:hAnsi="Arial" w:cs="Arial"/>
        </w:rPr>
        <w:t xml:space="preserve"> Acesso em: 05/08/2014.</w:t>
      </w:r>
    </w:p>
    <w:p w:rsidR="00D51474" w:rsidRDefault="00D51474" w:rsidP="00D51474">
      <w:pPr>
        <w:pStyle w:val="NormalWeb"/>
      </w:pPr>
    </w:p>
    <w:sectPr w:rsidR="00D51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09"/>
    <w:rsid w:val="005A555A"/>
    <w:rsid w:val="00624309"/>
    <w:rsid w:val="0074622E"/>
    <w:rsid w:val="00D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1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4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D514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5147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DefaultParagraphFont"/>
    <w:uiPriority w:val="99"/>
    <w:unhideWhenUsed/>
    <w:rsid w:val="00D5147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47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1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4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D514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5147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DefaultParagraphFont"/>
    <w:uiPriority w:val="99"/>
    <w:unhideWhenUsed/>
    <w:rsid w:val="00D5147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47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utraspalavras.net/destaques/desesconder-o-ministerio-da-cultura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4059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da Cunha Pessoa</dc:creator>
  <cp:keywords/>
  <dc:description/>
  <cp:lastModifiedBy>Nara Pessoa</cp:lastModifiedBy>
  <cp:revision>2</cp:revision>
  <dcterms:created xsi:type="dcterms:W3CDTF">2014-08-08T16:57:00Z</dcterms:created>
  <dcterms:modified xsi:type="dcterms:W3CDTF">2014-08-08T16:57:00Z</dcterms:modified>
</cp:coreProperties>
</file>