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F5" w:rsidRPr="00EC1BF5" w:rsidRDefault="000F2605" w:rsidP="000F2605">
      <w:pPr>
        <w:pBdr>
          <w:bottom w:val="single" w:sz="4" w:space="0" w:color="99BEA4"/>
        </w:pBdr>
        <w:shd w:val="clear" w:color="auto" w:fill="FDFDFB"/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4734A"/>
          <w:kern w:val="36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54734A"/>
          <w:kern w:val="36"/>
          <w:sz w:val="20"/>
          <w:szCs w:val="20"/>
          <w:lang w:eastAsia="pt-BR"/>
        </w:rPr>
        <w:t xml:space="preserve">O </w:t>
      </w:r>
      <w:r w:rsidR="00EC1BF5" w:rsidRPr="00EC1BF5">
        <w:rPr>
          <w:rFonts w:ascii="Times New Roman" w:eastAsia="Times New Roman" w:hAnsi="Times New Roman" w:cs="Times New Roman"/>
          <w:b/>
          <w:bCs/>
          <w:color w:val="54734A"/>
          <w:kern w:val="36"/>
          <w:sz w:val="20"/>
          <w:szCs w:val="20"/>
          <w:lang w:eastAsia="pt-BR"/>
        </w:rPr>
        <w:t>que é o Simples Nacional?</w:t>
      </w:r>
    </w:p>
    <w:p w:rsidR="00EC1BF5" w:rsidRPr="00EC1BF5" w:rsidRDefault="00EC1BF5" w:rsidP="00EC1BF5">
      <w:pPr>
        <w:shd w:val="clear" w:color="auto" w:fill="FDFD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O Simples Nacional é um regime compartilhado de arrecadação, cobrança e fiscalização de tributos aplicável às Microempresas e Empresas de Pequeno Porte, previsto na Lei Complementar nº 123, de 14 de dezembro de 2006.</w:t>
      </w:r>
    </w:p>
    <w:p w:rsidR="00EC1BF5" w:rsidRPr="00EC1BF5" w:rsidRDefault="00EC1BF5" w:rsidP="00EC1BF5">
      <w:pPr>
        <w:shd w:val="clear" w:color="auto" w:fill="FDFD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Abrange a participação de todos os entes federados (União, Estados, Distrito Federal e Municípios).</w:t>
      </w:r>
    </w:p>
    <w:p w:rsidR="00EC1BF5" w:rsidRPr="00EC1BF5" w:rsidRDefault="00EC1BF5" w:rsidP="00EC1BF5">
      <w:pPr>
        <w:shd w:val="clear" w:color="auto" w:fill="FDFD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É administrado por um Comitê Gestor composto por oito integrantes: quatro da Secretaria da Receita Federal do Brasil (RFB), dois dos Estados e do Distrito Federal e dois dos Municípios.</w:t>
      </w:r>
    </w:p>
    <w:p w:rsidR="00EC1BF5" w:rsidRPr="00EC1BF5" w:rsidRDefault="00EC1BF5" w:rsidP="00EC1BF5">
      <w:pPr>
        <w:shd w:val="clear" w:color="auto" w:fill="FDFD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Para o ingresso no Simples Nacional é necessário o cumprimento das seguintes condições:</w:t>
      </w:r>
    </w:p>
    <w:p w:rsidR="00EC1BF5" w:rsidRPr="00EC1BF5" w:rsidRDefault="00EC1BF5" w:rsidP="00EC1BF5">
      <w:pPr>
        <w:numPr>
          <w:ilvl w:val="0"/>
          <w:numId w:val="1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enquadrar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-se na definição de microempresa ou de empresa de pequeno porte;</w:t>
      </w:r>
    </w:p>
    <w:p w:rsidR="00EC1BF5" w:rsidRPr="00EC1BF5" w:rsidRDefault="00EC1BF5" w:rsidP="00EC1BF5">
      <w:pPr>
        <w:numPr>
          <w:ilvl w:val="0"/>
          <w:numId w:val="1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cumprir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os requisitos previstos na legislação; e</w:t>
      </w:r>
    </w:p>
    <w:p w:rsidR="00EC1BF5" w:rsidRPr="00EC1BF5" w:rsidRDefault="00EC1BF5" w:rsidP="00EC1BF5">
      <w:pPr>
        <w:numPr>
          <w:ilvl w:val="0"/>
          <w:numId w:val="1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formalizar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a opção pelo Simples Nacional.</w:t>
      </w:r>
    </w:p>
    <w:p w:rsidR="00EC1BF5" w:rsidRPr="00EC1BF5" w:rsidRDefault="00EC1BF5" w:rsidP="00EC1BF5">
      <w:pPr>
        <w:shd w:val="clear" w:color="auto" w:fill="FDFDFB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Características principais do Regime do Simples Nacional:</w:t>
      </w:r>
    </w:p>
    <w:p w:rsidR="00EC1BF5" w:rsidRPr="00EC1BF5" w:rsidRDefault="00EC1BF5" w:rsidP="00EC1BF5">
      <w:pPr>
        <w:numPr>
          <w:ilvl w:val="0"/>
          <w:numId w:val="2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ser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facultativo;</w:t>
      </w:r>
    </w:p>
    <w:p w:rsidR="00EC1BF5" w:rsidRPr="00EC1BF5" w:rsidRDefault="00EC1BF5" w:rsidP="00EC1BF5">
      <w:pPr>
        <w:numPr>
          <w:ilvl w:val="0"/>
          <w:numId w:val="2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ser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irretratável para todo o ano-calendário;</w:t>
      </w:r>
    </w:p>
    <w:p w:rsidR="00EC1BF5" w:rsidRPr="00EC1BF5" w:rsidRDefault="00EC1BF5" w:rsidP="00EC1BF5">
      <w:pPr>
        <w:numPr>
          <w:ilvl w:val="0"/>
          <w:numId w:val="2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abrange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os seguintes tributos: IRPJ, CSLL, PIS/</w:t>
      </w:r>
      <w:proofErr w:type="spell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Pasep</w:t>
      </w:r>
      <w:proofErr w:type="spell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, </w:t>
      </w:r>
      <w:proofErr w:type="spell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Cofins</w:t>
      </w:r>
      <w:proofErr w:type="spell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, IPI, ICMS, ISS e a Contribuição para a Seguridade Social destinada à Previdência Social a cargo da pessoa jurídica (CPP);</w:t>
      </w:r>
    </w:p>
    <w:p w:rsidR="00EC1BF5" w:rsidRPr="00EC1BF5" w:rsidRDefault="00EC1BF5" w:rsidP="00EC1BF5">
      <w:pPr>
        <w:numPr>
          <w:ilvl w:val="0"/>
          <w:numId w:val="2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recolhimento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dos tributos abrangidos mediante documento único de arrecadação - DAS;</w:t>
      </w:r>
    </w:p>
    <w:p w:rsidR="00EC1BF5" w:rsidRPr="00EC1BF5" w:rsidRDefault="00EC1BF5" w:rsidP="00EC1BF5">
      <w:pPr>
        <w:numPr>
          <w:ilvl w:val="0"/>
          <w:numId w:val="2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disponibilização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às ME/EPP de sistema eletrônico para a realização do cálculo do valor mensal devido, geração do DAS e, a partir de janeiro de 2012, para constituição do crédito tributário;</w:t>
      </w:r>
    </w:p>
    <w:p w:rsidR="00EC1BF5" w:rsidRPr="00EC1BF5" w:rsidRDefault="00EC1BF5" w:rsidP="00EC1BF5">
      <w:pPr>
        <w:numPr>
          <w:ilvl w:val="0"/>
          <w:numId w:val="2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apresentação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de declaração única e simplificada de informações socioeconômicas e fiscais;</w:t>
      </w:r>
    </w:p>
    <w:p w:rsidR="00EC1BF5" w:rsidRPr="00EC1BF5" w:rsidRDefault="00EC1BF5" w:rsidP="00EC1BF5">
      <w:pPr>
        <w:numPr>
          <w:ilvl w:val="0"/>
          <w:numId w:val="2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prazo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para recolhimento do DAS até o dia 20 do mês </w:t>
      </w:r>
      <w:proofErr w:type="spell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subsequente</w:t>
      </w:r>
      <w:proofErr w:type="spell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àquele em que houver sido auferida a receita bruta;</w:t>
      </w:r>
    </w:p>
    <w:p w:rsidR="00EC1BF5" w:rsidRPr="00EC1BF5" w:rsidRDefault="00EC1BF5" w:rsidP="00EC1BF5">
      <w:pPr>
        <w:numPr>
          <w:ilvl w:val="0"/>
          <w:numId w:val="2"/>
        </w:numPr>
        <w:shd w:val="clear" w:color="auto" w:fill="FDFDFB"/>
        <w:spacing w:after="0" w:line="240" w:lineRule="auto"/>
        <w:ind w:left="438"/>
        <w:jc w:val="both"/>
        <w:textAlignment w:val="baseline"/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</w:pP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possibilidade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de os Estados adotarem </w:t>
      </w:r>
      <w:proofErr w:type="spell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sublimites</w:t>
      </w:r>
      <w:proofErr w:type="spell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para EPP em função da respectiva participação no PIB. Os estabelecimentos localizados nesses Estados cuja receita bruta total extrapolar o respectivo </w:t>
      </w:r>
      <w:proofErr w:type="spell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sublimite</w:t>
      </w:r>
      <w:proofErr w:type="spell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</w:t>
      </w:r>
      <w:proofErr w:type="gramStart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>deverão</w:t>
      </w:r>
      <w:proofErr w:type="gramEnd"/>
      <w:r w:rsidRPr="00EC1BF5">
        <w:rPr>
          <w:rFonts w:ascii="Times New Roman" w:eastAsia="Times New Roman" w:hAnsi="Times New Roman" w:cs="Times New Roman"/>
          <w:color w:val="727272"/>
          <w:sz w:val="20"/>
          <w:szCs w:val="20"/>
          <w:lang w:eastAsia="pt-BR"/>
        </w:rPr>
        <w:t xml:space="preserve"> recolher o ICMS e o ISS diretamente ao Estado ou ao Município.</w:t>
      </w:r>
    </w:p>
    <w:p w:rsidR="000F2605" w:rsidRDefault="000F2605" w:rsidP="00EC1BF5">
      <w:pPr>
        <w:pStyle w:val="Ttulo2"/>
        <w:spacing w:before="0" w:after="376" w:line="301" w:lineRule="atLeast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EC1BF5" w:rsidRPr="000F2605" w:rsidRDefault="00EC1BF5" w:rsidP="00EC1BF5">
      <w:pPr>
        <w:pStyle w:val="Ttulo2"/>
        <w:spacing w:before="0" w:after="376" w:line="301" w:lineRule="atLeast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0F2605">
        <w:rPr>
          <w:rFonts w:ascii="Times New Roman" w:hAnsi="Times New Roman" w:cs="Times New Roman"/>
          <w:b w:val="0"/>
          <w:color w:val="auto"/>
          <w:sz w:val="20"/>
          <w:szCs w:val="20"/>
        </w:rPr>
        <w:t>Projeto de Lei que amplia o S</w:t>
      </w:r>
      <w:r w:rsidR="000F2605" w:rsidRPr="000F2605">
        <w:rPr>
          <w:rFonts w:ascii="Times New Roman" w:hAnsi="Times New Roman" w:cs="Times New Roman"/>
          <w:b w:val="0"/>
          <w:color w:val="auto"/>
          <w:sz w:val="20"/>
          <w:szCs w:val="20"/>
        </w:rPr>
        <w:t>imples Nacional é aprovado – julho 2014</w:t>
      </w:r>
    </w:p>
    <w:p w:rsidR="00EC1BF5" w:rsidRPr="00EC1BF5" w:rsidRDefault="00EC1BF5" w:rsidP="00EC1BF5">
      <w:pPr>
        <w:pStyle w:val="NormalWeb"/>
        <w:shd w:val="clear" w:color="auto" w:fill="FFFFFF"/>
        <w:spacing w:before="0" w:beforeAutospacing="0" w:after="376" w:afterAutospacing="0"/>
        <w:jc w:val="both"/>
        <w:rPr>
          <w:color w:val="636467"/>
          <w:sz w:val="20"/>
          <w:szCs w:val="20"/>
        </w:rPr>
      </w:pPr>
      <w:r w:rsidRPr="00EC1BF5">
        <w:rPr>
          <w:color w:val="636467"/>
          <w:sz w:val="20"/>
          <w:szCs w:val="20"/>
        </w:rPr>
        <w:t xml:space="preserve">Semana de decisão importante tomada pelo Senado. Por unanimidade, com 56 votos favoráveis, o plenário aprovou o projeto de lei que prevê a chamada “universalização” do </w:t>
      </w:r>
      <w:proofErr w:type="spellStart"/>
      <w:r w:rsidRPr="00EC1BF5">
        <w:rPr>
          <w:color w:val="636467"/>
          <w:sz w:val="20"/>
          <w:szCs w:val="20"/>
        </w:rPr>
        <w:t>Supersimples</w:t>
      </w:r>
      <w:proofErr w:type="spellEnd"/>
      <w:r w:rsidRPr="00EC1BF5">
        <w:rPr>
          <w:color w:val="636467"/>
          <w:sz w:val="20"/>
          <w:szCs w:val="20"/>
        </w:rPr>
        <w:t xml:space="preserve"> ou Simples Nacional, regime de pagamento simplificado de tributos, voltado para micro e pequenas empresas. Com a aprovação do Senado, o texto segue para sanção ou veto presidencial. Vale lembrar que a Câmara dos Deputados também já havia dado sua aprovação em maio.</w:t>
      </w:r>
    </w:p>
    <w:p w:rsidR="00EC1BF5" w:rsidRPr="00EC1BF5" w:rsidRDefault="00EC1BF5" w:rsidP="00EC1BF5">
      <w:pPr>
        <w:pStyle w:val="NormalWeb"/>
        <w:shd w:val="clear" w:color="auto" w:fill="FFFFFF"/>
        <w:spacing w:before="0" w:beforeAutospacing="0" w:after="376" w:afterAutospacing="0"/>
        <w:jc w:val="both"/>
        <w:rPr>
          <w:color w:val="636467"/>
          <w:sz w:val="20"/>
          <w:szCs w:val="20"/>
        </w:rPr>
      </w:pPr>
      <w:r w:rsidRPr="00EC1BF5">
        <w:rPr>
          <w:color w:val="636467"/>
          <w:sz w:val="20"/>
          <w:szCs w:val="20"/>
        </w:rPr>
        <w:t>Os principais beneficiados com a proposta, elaborada pelo deputado Vaz de Lima (PSDB-SP), serão os profissionais liberais, que se enquadram na maioria dos mais de 140 segmentos que passam a ser contemplados pelo sistema de tributação simplificada. A grande novidade é que o projeto destaca como único critério para adesão ao regime o faturamento, que pode chegar a R$ 3,6 milhões por ano.</w:t>
      </w:r>
    </w:p>
    <w:p w:rsidR="00EC1BF5" w:rsidRPr="00EC1BF5" w:rsidRDefault="00EC1BF5" w:rsidP="00EC1BF5">
      <w:pPr>
        <w:pStyle w:val="NormalWeb"/>
        <w:shd w:val="clear" w:color="auto" w:fill="FFFFFF"/>
        <w:spacing w:before="0" w:beforeAutospacing="0" w:after="376" w:afterAutospacing="0"/>
        <w:jc w:val="both"/>
        <w:rPr>
          <w:color w:val="636467"/>
          <w:sz w:val="20"/>
          <w:szCs w:val="20"/>
        </w:rPr>
      </w:pPr>
      <w:r w:rsidRPr="00EC1BF5">
        <w:rPr>
          <w:color w:val="636467"/>
          <w:sz w:val="20"/>
          <w:szCs w:val="20"/>
        </w:rPr>
        <w:t xml:space="preserve">Empresas produtoras de refrigerantes, águas gaseificadas com sabor e preparações compostas não alcoólicas poderão optar pelo </w:t>
      </w:r>
      <w:proofErr w:type="spellStart"/>
      <w:r w:rsidRPr="00EC1BF5">
        <w:rPr>
          <w:color w:val="636467"/>
          <w:sz w:val="20"/>
          <w:szCs w:val="20"/>
        </w:rPr>
        <w:t>Supersimples</w:t>
      </w:r>
      <w:proofErr w:type="spellEnd"/>
      <w:r w:rsidRPr="00EC1BF5">
        <w:rPr>
          <w:color w:val="636467"/>
          <w:sz w:val="20"/>
          <w:szCs w:val="20"/>
        </w:rPr>
        <w:t xml:space="preserve">. Também passam a ter direito de aderir ao sistema empresas jornalísticas, consultórios médicos e odontológicos e escritórios de advocacia, entre muitos </w:t>
      </w:r>
      <w:proofErr w:type="gramStart"/>
      <w:r w:rsidRPr="00EC1BF5">
        <w:rPr>
          <w:color w:val="636467"/>
          <w:sz w:val="20"/>
          <w:szCs w:val="20"/>
        </w:rPr>
        <w:t>outros.</w:t>
      </w:r>
      <w:proofErr w:type="gramEnd"/>
      <w:r w:rsidRPr="00EC1BF5">
        <w:rPr>
          <w:color w:val="636467"/>
          <w:sz w:val="20"/>
          <w:szCs w:val="20"/>
        </w:rPr>
        <w:t xml:space="preserve">Corretores de imóveis e de seguros, advogados e fisioterapeutas, categorias que atualmente integram uma tabela intermediária do </w:t>
      </w:r>
      <w:proofErr w:type="spellStart"/>
      <w:r w:rsidRPr="00EC1BF5">
        <w:rPr>
          <w:color w:val="636467"/>
          <w:sz w:val="20"/>
          <w:szCs w:val="20"/>
        </w:rPr>
        <w:t>Supersimples</w:t>
      </w:r>
      <w:proofErr w:type="spellEnd"/>
      <w:r w:rsidRPr="00EC1BF5">
        <w:rPr>
          <w:color w:val="636467"/>
          <w:sz w:val="20"/>
          <w:szCs w:val="20"/>
        </w:rPr>
        <w:t xml:space="preserve"> e não recebem corte de tributos, apenas facilidade no pagamento, também foram contemplados pelos deputados e tiveram o benefício foi mantido pelos senadores. Eles passam a fazer parte das tabelas 3 (serviço de corretagem de seguros e imóveis e fisioterapeutas) ou tabela 4 (serviços de advocacia), com tributação mais favorável que a prevista na tabela 6, categoria na qual estavam enquadrados pelo texto original.</w:t>
      </w:r>
    </w:p>
    <w:p w:rsidR="00EC1BF5" w:rsidRPr="00EC1BF5" w:rsidRDefault="00EC1BF5" w:rsidP="00EC1BF5">
      <w:pPr>
        <w:pStyle w:val="Ttulo2"/>
        <w:shd w:val="clear" w:color="auto" w:fill="FFFFFF"/>
        <w:spacing w:before="0" w:after="125" w:line="240" w:lineRule="auto"/>
        <w:jc w:val="both"/>
        <w:rPr>
          <w:rFonts w:ascii="Times New Roman" w:hAnsi="Times New Roman" w:cs="Times New Roman"/>
          <w:color w:val="3C3C3C"/>
          <w:sz w:val="20"/>
          <w:szCs w:val="20"/>
        </w:rPr>
      </w:pPr>
      <w:r w:rsidRPr="00EC1BF5">
        <w:rPr>
          <w:rFonts w:ascii="Times New Roman" w:hAnsi="Times New Roman" w:cs="Times New Roman"/>
          <w:color w:val="3C3C3C"/>
          <w:sz w:val="20"/>
          <w:szCs w:val="20"/>
        </w:rPr>
        <w:t>O Simples Nacional</w:t>
      </w:r>
    </w:p>
    <w:p w:rsidR="00EC1BF5" w:rsidRPr="00EC1BF5" w:rsidRDefault="00EC1BF5" w:rsidP="00EC1BF5">
      <w:pPr>
        <w:pStyle w:val="NormalWeb"/>
        <w:shd w:val="clear" w:color="auto" w:fill="FFFFFF"/>
        <w:spacing w:before="0" w:beforeAutospacing="0" w:after="376" w:afterAutospacing="0"/>
        <w:jc w:val="both"/>
        <w:rPr>
          <w:color w:val="636467"/>
          <w:sz w:val="20"/>
          <w:szCs w:val="20"/>
        </w:rPr>
      </w:pPr>
      <w:r w:rsidRPr="00EC1BF5">
        <w:rPr>
          <w:color w:val="636467"/>
          <w:sz w:val="20"/>
          <w:szCs w:val="20"/>
        </w:rPr>
        <w:t xml:space="preserve">O sistema do Simples acaba compensando por englobar uma série de impostos, mas tem como um dos fatores limitantes o faturamento, que não pode ultrapassar 3,6 milhões ao ano. O simples vai calculando o imposto, porque é </w:t>
      </w:r>
      <w:proofErr w:type="gramStart"/>
      <w:r w:rsidRPr="00EC1BF5">
        <w:rPr>
          <w:color w:val="636467"/>
          <w:sz w:val="20"/>
          <w:szCs w:val="20"/>
        </w:rPr>
        <w:t>uma alíquota crescente, sempre baseado nos últimos 12 meses de faturamento, então ele</w:t>
      </w:r>
      <w:proofErr w:type="gramEnd"/>
      <w:r w:rsidRPr="00EC1BF5">
        <w:rPr>
          <w:color w:val="636467"/>
          <w:sz w:val="20"/>
          <w:szCs w:val="20"/>
        </w:rPr>
        <w:t xml:space="preserve"> vai subindo à medida que vai aumentando o faturamento. Conforme vai aumentando essa porcentagem, começa a ser importante mensurar se vale </w:t>
      </w:r>
      <w:proofErr w:type="gramStart"/>
      <w:r w:rsidRPr="00EC1BF5">
        <w:rPr>
          <w:color w:val="636467"/>
          <w:sz w:val="20"/>
          <w:szCs w:val="20"/>
        </w:rPr>
        <w:t>a</w:t>
      </w:r>
      <w:proofErr w:type="gramEnd"/>
      <w:r w:rsidRPr="00EC1BF5">
        <w:rPr>
          <w:color w:val="636467"/>
          <w:sz w:val="20"/>
          <w:szCs w:val="20"/>
        </w:rPr>
        <w:t xml:space="preserve"> pena estar no simples ou optar por outra forma tributária, como o lucro presumido ou lucro real. Mas vamos falar mais sobre os tipos de regimes tributários em um dos próximos artigos.</w:t>
      </w:r>
    </w:p>
    <w:p w:rsidR="00EC1BF5" w:rsidRPr="00EC1BF5" w:rsidRDefault="00EC1BF5" w:rsidP="00EC1BF5">
      <w:pPr>
        <w:pStyle w:val="Ttulo3"/>
        <w:shd w:val="clear" w:color="auto" w:fill="FFFFFF"/>
        <w:spacing w:before="0" w:after="125" w:line="240" w:lineRule="auto"/>
        <w:jc w:val="both"/>
        <w:rPr>
          <w:rFonts w:ascii="Times New Roman" w:hAnsi="Times New Roman" w:cs="Times New Roman"/>
          <w:color w:val="3C3C3C"/>
          <w:sz w:val="20"/>
          <w:szCs w:val="20"/>
        </w:rPr>
      </w:pPr>
      <w:r w:rsidRPr="00EC1BF5">
        <w:rPr>
          <w:rFonts w:ascii="Times New Roman" w:hAnsi="Times New Roman" w:cs="Times New Roman"/>
          <w:color w:val="3C3C3C"/>
          <w:sz w:val="20"/>
          <w:szCs w:val="20"/>
        </w:rPr>
        <w:t>Quais os benefícios concedidos à pessoa jurídica que optar por se inscrever no Simples?</w:t>
      </w:r>
    </w:p>
    <w:p w:rsidR="00EC1BF5" w:rsidRPr="00EC1BF5" w:rsidRDefault="00EC1BF5" w:rsidP="00EC1B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636467"/>
          <w:sz w:val="20"/>
          <w:szCs w:val="20"/>
        </w:rPr>
      </w:pPr>
      <w:r w:rsidRPr="00EC1BF5">
        <w:rPr>
          <w:rFonts w:ascii="Times New Roman" w:hAnsi="Times New Roman" w:cs="Times New Roman"/>
          <w:color w:val="636467"/>
          <w:sz w:val="20"/>
          <w:szCs w:val="20"/>
        </w:rPr>
        <w:t>Tributação com alíquotas mais favorecidas e progressivas, de acordo com a receita bruta auferida;</w:t>
      </w:r>
    </w:p>
    <w:p w:rsidR="00EC1BF5" w:rsidRPr="00EC1BF5" w:rsidRDefault="00EC1BF5" w:rsidP="00EC1B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636467"/>
          <w:sz w:val="20"/>
          <w:szCs w:val="20"/>
        </w:rPr>
      </w:pPr>
      <w:r w:rsidRPr="00EC1BF5">
        <w:rPr>
          <w:rFonts w:ascii="Times New Roman" w:hAnsi="Times New Roman" w:cs="Times New Roman"/>
          <w:color w:val="636467"/>
          <w:sz w:val="20"/>
          <w:szCs w:val="20"/>
        </w:rPr>
        <w:t>Recolhimento unificado e centralizado de impostos e contribuições federais, com a utilização de um único DARF (</w:t>
      </w:r>
      <w:proofErr w:type="spellStart"/>
      <w:r w:rsidRPr="00EC1BF5">
        <w:rPr>
          <w:rFonts w:ascii="Times New Roman" w:hAnsi="Times New Roman" w:cs="Times New Roman"/>
          <w:color w:val="636467"/>
          <w:sz w:val="20"/>
          <w:szCs w:val="20"/>
        </w:rPr>
        <w:t>DARF-Simples</w:t>
      </w:r>
      <w:proofErr w:type="spellEnd"/>
      <w:r w:rsidRPr="00EC1BF5">
        <w:rPr>
          <w:rFonts w:ascii="Times New Roman" w:hAnsi="Times New Roman" w:cs="Times New Roman"/>
          <w:color w:val="636467"/>
          <w:sz w:val="20"/>
          <w:szCs w:val="20"/>
        </w:rPr>
        <w:t>), podendo, inclusive, incluir impostos estaduais e municipais, quando existirem convênios firmados com essa finalidade;</w:t>
      </w:r>
    </w:p>
    <w:p w:rsidR="00EC1BF5" w:rsidRPr="00EC1BF5" w:rsidRDefault="00EC1BF5" w:rsidP="00EC1B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636467"/>
          <w:sz w:val="20"/>
          <w:szCs w:val="20"/>
        </w:rPr>
      </w:pPr>
      <w:r w:rsidRPr="00EC1BF5">
        <w:rPr>
          <w:rFonts w:ascii="Times New Roman" w:hAnsi="Times New Roman" w:cs="Times New Roman"/>
          <w:color w:val="636467"/>
          <w:sz w:val="20"/>
          <w:szCs w:val="20"/>
        </w:rPr>
        <w:lastRenderedPageBreak/>
        <w:t>Cálculo simplificado do valor a ser recolhido, apurado com base na aplicação de alíquotas unificadas e progressivas, fixadas em lei, incidentes sobre uma única base, a receita bruta mensal;</w:t>
      </w:r>
    </w:p>
    <w:p w:rsidR="00EC1BF5" w:rsidRPr="00EC1BF5" w:rsidRDefault="00EC1BF5" w:rsidP="00EC1B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636467"/>
          <w:sz w:val="20"/>
          <w:szCs w:val="20"/>
        </w:rPr>
      </w:pPr>
      <w:r w:rsidRPr="00EC1BF5">
        <w:rPr>
          <w:rFonts w:ascii="Times New Roman" w:hAnsi="Times New Roman" w:cs="Times New Roman"/>
          <w:color w:val="636467"/>
          <w:sz w:val="20"/>
          <w:szCs w:val="20"/>
        </w:rPr>
        <w:t>Dispensa da obrigatoriedade de escrituração comercial para fins fiscais, desde que mantenha em boa ordem e guarda, enquanto não decorrido o prazo decadencial e não prescritas eventuais ações, os Livros Caixa e Registro de Inventário, e todos os documentos que serviram de base para a escrituração;</w:t>
      </w:r>
    </w:p>
    <w:p w:rsidR="00EC1BF5" w:rsidRPr="00EC1BF5" w:rsidRDefault="00EC1BF5" w:rsidP="00EC1B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636467"/>
          <w:sz w:val="20"/>
          <w:szCs w:val="20"/>
        </w:rPr>
      </w:pPr>
      <w:r w:rsidRPr="00EC1BF5">
        <w:rPr>
          <w:rFonts w:ascii="Times New Roman" w:hAnsi="Times New Roman" w:cs="Times New Roman"/>
          <w:color w:val="636467"/>
          <w:sz w:val="20"/>
          <w:szCs w:val="20"/>
        </w:rPr>
        <w:t xml:space="preserve">Dispensa a pessoa jurídica do pagamento das contribuições instituídas pela União, destinadas ao </w:t>
      </w:r>
      <w:proofErr w:type="spellStart"/>
      <w:proofErr w:type="gramStart"/>
      <w:r w:rsidRPr="00EC1BF5">
        <w:rPr>
          <w:rFonts w:ascii="Times New Roman" w:hAnsi="Times New Roman" w:cs="Times New Roman"/>
          <w:color w:val="636467"/>
          <w:sz w:val="20"/>
          <w:szCs w:val="20"/>
        </w:rPr>
        <w:t>Sesc</w:t>
      </w:r>
      <w:proofErr w:type="spellEnd"/>
      <w:proofErr w:type="gramEnd"/>
      <w:r w:rsidRPr="00EC1BF5">
        <w:rPr>
          <w:rFonts w:ascii="Times New Roman" w:hAnsi="Times New Roman" w:cs="Times New Roman"/>
          <w:color w:val="636467"/>
          <w:sz w:val="20"/>
          <w:szCs w:val="20"/>
        </w:rPr>
        <w:t xml:space="preserve">, ao </w:t>
      </w:r>
      <w:proofErr w:type="spellStart"/>
      <w:r w:rsidRPr="00EC1BF5">
        <w:rPr>
          <w:rFonts w:ascii="Times New Roman" w:hAnsi="Times New Roman" w:cs="Times New Roman"/>
          <w:color w:val="636467"/>
          <w:sz w:val="20"/>
          <w:szCs w:val="20"/>
        </w:rPr>
        <w:t>Sesi</w:t>
      </w:r>
      <w:proofErr w:type="spellEnd"/>
      <w:r w:rsidRPr="00EC1BF5">
        <w:rPr>
          <w:rFonts w:ascii="Times New Roman" w:hAnsi="Times New Roman" w:cs="Times New Roman"/>
          <w:color w:val="636467"/>
          <w:sz w:val="20"/>
          <w:szCs w:val="20"/>
        </w:rPr>
        <w:t xml:space="preserve">, ao </w:t>
      </w:r>
      <w:proofErr w:type="spellStart"/>
      <w:r w:rsidRPr="00EC1BF5">
        <w:rPr>
          <w:rFonts w:ascii="Times New Roman" w:hAnsi="Times New Roman" w:cs="Times New Roman"/>
          <w:color w:val="636467"/>
          <w:sz w:val="20"/>
          <w:szCs w:val="20"/>
        </w:rPr>
        <w:t>Senai</w:t>
      </w:r>
      <w:proofErr w:type="spellEnd"/>
      <w:r w:rsidRPr="00EC1BF5">
        <w:rPr>
          <w:rFonts w:ascii="Times New Roman" w:hAnsi="Times New Roman" w:cs="Times New Roman"/>
          <w:color w:val="636467"/>
          <w:sz w:val="20"/>
          <w:szCs w:val="20"/>
        </w:rPr>
        <w:t xml:space="preserve">, ao </w:t>
      </w:r>
      <w:proofErr w:type="spellStart"/>
      <w:r w:rsidRPr="00EC1BF5">
        <w:rPr>
          <w:rFonts w:ascii="Times New Roman" w:hAnsi="Times New Roman" w:cs="Times New Roman"/>
          <w:color w:val="636467"/>
          <w:sz w:val="20"/>
          <w:szCs w:val="20"/>
        </w:rPr>
        <w:t>Senac</w:t>
      </w:r>
      <w:proofErr w:type="spellEnd"/>
      <w:r w:rsidRPr="00EC1BF5">
        <w:rPr>
          <w:rFonts w:ascii="Times New Roman" w:hAnsi="Times New Roman" w:cs="Times New Roman"/>
          <w:color w:val="636467"/>
          <w:sz w:val="20"/>
          <w:szCs w:val="20"/>
        </w:rPr>
        <w:t xml:space="preserve">, ao </w:t>
      </w:r>
      <w:proofErr w:type="spellStart"/>
      <w:r w:rsidRPr="00EC1BF5">
        <w:rPr>
          <w:rFonts w:ascii="Times New Roman" w:hAnsi="Times New Roman" w:cs="Times New Roman"/>
          <w:color w:val="636467"/>
          <w:sz w:val="20"/>
          <w:szCs w:val="20"/>
        </w:rPr>
        <w:t>Sebrae</w:t>
      </w:r>
      <w:proofErr w:type="spellEnd"/>
      <w:r w:rsidRPr="00EC1BF5">
        <w:rPr>
          <w:rFonts w:ascii="Times New Roman" w:hAnsi="Times New Roman" w:cs="Times New Roman"/>
          <w:color w:val="636467"/>
          <w:sz w:val="20"/>
          <w:szCs w:val="20"/>
        </w:rPr>
        <w:t>, e seus congêneres, bem assim as relativas ao salário-educação e à Contribuição Sindical Patronal ( IN SRF n o 355, de 2003, art. 5 o , § 7 o );</w:t>
      </w:r>
    </w:p>
    <w:p w:rsidR="00EC1BF5" w:rsidRPr="00EC1BF5" w:rsidRDefault="00EC1BF5" w:rsidP="00EC1B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636467"/>
          <w:sz w:val="20"/>
          <w:szCs w:val="20"/>
        </w:rPr>
      </w:pPr>
      <w:r w:rsidRPr="00EC1BF5">
        <w:rPr>
          <w:rFonts w:ascii="Times New Roman" w:hAnsi="Times New Roman" w:cs="Times New Roman"/>
          <w:color w:val="636467"/>
          <w:sz w:val="20"/>
          <w:szCs w:val="20"/>
        </w:rPr>
        <w:t>Dispensa a pessoa jurídica da sujeição à retenção na fonte de tributos e contribuições, por parte dos órgãos da administração federal direta, das autarquias e das fundações federais (Lei n o 9.430, de 1996, art. 60; e IN SRF n o 306, de 2003, art. 25, XI);</w:t>
      </w:r>
    </w:p>
    <w:p w:rsidR="00EC1BF5" w:rsidRPr="00EC1BF5" w:rsidRDefault="00EC1BF5" w:rsidP="00EC1B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636467"/>
          <w:sz w:val="20"/>
          <w:szCs w:val="20"/>
        </w:rPr>
      </w:pPr>
      <w:r w:rsidRPr="00EC1BF5">
        <w:rPr>
          <w:rFonts w:ascii="Times New Roman" w:hAnsi="Times New Roman" w:cs="Times New Roman"/>
          <w:color w:val="636467"/>
          <w:sz w:val="20"/>
          <w:szCs w:val="20"/>
        </w:rPr>
        <w:t>Isenção dos rendimentos distribuídos aos sócios e ao titular, na fonte e na declaração de ajuste do beneficiário, exceto os que corresponderem a pró-labore, aluguéis e serviços prestados, limitado ao saldo do livro caixa, desde que não ultrapasse a Receita Bruta.</w:t>
      </w:r>
    </w:p>
    <w:p w:rsidR="00006383" w:rsidRDefault="00006383"/>
    <w:sectPr w:rsidR="00006383" w:rsidSect="00EC1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EFB"/>
    <w:multiLevelType w:val="multilevel"/>
    <w:tmpl w:val="B4EC58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995402D"/>
    <w:multiLevelType w:val="multilevel"/>
    <w:tmpl w:val="8E48C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BC11699"/>
    <w:multiLevelType w:val="multilevel"/>
    <w:tmpl w:val="5BE2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1BF5"/>
    <w:rsid w:val="00006383"/>
    <w:rsid w:val="000F2605"/>
    <w:rsid w:val="007205EB"/>
    <w:rsid w:val="00EC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83"/>
  </w:style>
  <w:style w:type="paragraph" w:styleId="Ttulo1">
    <w:name w:val="heading 1"/>
    <w:basedOn w:val="Normal"/>
    <w:link w:val="Ttulo1Char"/>
    <w:uiPriority w:val="9"/>
    <w:qFormat/>
    <w:rsid w:val="00EC1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1B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1B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1BF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EC1BF5"/>
  </w:style>
  <w:style w:type="paragraph" w:styleId="NormalWeb">
    <w:name w:val="Normal (Web)"/>
    <w:basedOn w:val="Normal"/>
    <w:uiPriority w:val="99"/>
    <w:semiHidden/>
    <w:unhideWhenUsed/>
    <w:rsid w:val="00EC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1B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1B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F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C1B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2014-07-30T18:01:00Z</dcterms:created>
  <dcterms:modified xsi:type="dcterms:W3CDTF">2014-07-30T18:15:00Z</dcterms:modified>
</cp:coreProperties>
</file>